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D6D8" w14:textId="77777777" w:rsidR="001203E5" w:rsidRDefault="001203E5" w:rsidP="00FA219B">
      <w:pPr>
        <w:pStyle w:val="Title"/>
        <w:sectPr w:rsidR="001203E5" w:rsidSect="004266E2">
          <w:headerReference w:type="first" r:id="rId11"/>
          <w:type w:val="continuous"/>
          <w:pgSz w:w="11907" w:h="16840" w:code="9"/>
          <w:pgMar w:top="680" w:right="680" w:bottom="340" w:left="680" w:header="454" w:footer="340" w:gutter="0"/>
          <w:cols w:space="720"/>
          <w:noEndnote/>
          <w:titlePg/>
          <w:docGrid w:linePitch="272"/>
        </w:sectPr>
      </w:pPr>
    </w:p>
    <w:p w14:paraId="130D3960" w14:textId="77777777" w:rsidR="001F11F8" w:rsidRDefault="001F11F8" w:rsidP="001840AC">
      <w:pPr>
        <w:pStyle w:val="Intro"/>
        <w:sectPr w:rsidR="001F11F8" w:rsidSect="004266E2">
          <w:type w:val="continuous"/>
          <w:pgSz w:w="11907" w:h="16840" w:code="9"/>
          <w:pgMar w:top="680" w:right="680" w:bottom="340" w:left="680" w:header="454" w:footer="340" w:gutter="0"/>
          <w:cols w:space="720"/>
          <w:formProt w:val="0"/>
          <w:noEndnote/>
          <w:titlePg/>
          <w:docGrid w:linePitch="272"/>
        </w:sectPr>
      </w:pPr>
    </w:p>
    <w:p w14:paraId="7D5EE02D" w14:textId="7D60B574" w:rsidR="001F11F8" w:rsidRPr="001F11F8" w:rsidRDefault="00453827" w:rsidP="00453827">
      <w:pPr>
        <w:tabs>
          <w:tab w:val="left" w:pos="2375"/>
        </w:tabs>
      </w:pPr>
      <w:r>
        <w:tab/>
      </w:r>
    </w:p>
    <w:p w14:paraId="0F3DB4A5" w14:textId="77777777" w:rsidR="00453827" w:rsidRDefault="00453827" w:rsidP="001840AC">
      <w:pPr>
        <w:pStyle w:val="Intro"/>
      </w:pPr>
    </w:p>
    <w:p w14:paraId="3BCB296A" w14:textId="08B47D75" w:rsidR="00897341" w:rsidRPr="001840AC" w:rsidRDefault="006F5E3E" w:rsidP="001840AC">
      <w:pPr>
        <w:pStyle w:val="Intro"/>
      </w:pPr>
      <w:r w:rsidRPr="006F5E3E">
        <w:t>Interest rates are the cost of money when borrowed or loaned, and are used to control inflation and economic growth. But why do interest rates rise and fall, and how can they affect you?</w:t>
      </w:r>
      <w:r w:rsidR="00737687" w:rsidRPr="001840AC">
        <w:t xml:space="preserve"> </w:t>
      </w:r>
    </w:p>
    <w:p w14:paraId="7C00A624" w14:textId="77777777" w:rsidR="00135865" w:rsidRPr="006F5E3E" w:rsidRDefault="00135865" w:rsidP="006F5E3E">
      <w:pPr>
        <w:rPr>
          <w:rFonts w:ascii="Verdana" w:hAnsi="Verdana" w:cstheme="minorHAnsi"/>
          <w:b/>
        </w:rPr>
        <w:sectPr w:rsidR="00135865" w:rsidRPr="006F5E3E" w:rsidSect="004266E2">
          <w:type w:val="continuous"/>
          <w:pgSz w:w="11907" w:h="16840" w:code="9"/>
          <w:pgMar w:top="680" w:right="680" w:bottom="340" w:left="680" w:header="454" w:footer="340" w:gutter="0"/>
          <w:cols w:space="720"/>
          <w:noEndnote/>
          <w:titlePg/>
          <w:docGrid w:linePitch="272"/>
        </w:sectPr>
      </w:pPr>
    </w:p>
    <w:p w14:paraId="3FF29CBA" w14:textId="77777777" w:rsidR="007A3A07" w:rsidRPr="008B4961" w:rsidRDefault="00A75923" w:rsidP="008B4961">
      <w:r w:rsidRPr="008B4961">
        <w:rPr>
          <w:noProof/>
          <w:lang w:eastAsia="en-AU"/>
        </w:rPr>
        <mc:AlternateContent>
          <mc:Choice Requires="wps">
            <w:drawing>
              <wp:inline distT="0" distB="0" distL="0" distR="0" wp14:anchorId="132E6E16" wp14:editId="3D5FF472">
                <wp:extent cx="3253740" cy="914400"/>
                <wp:effectExtent l="0" t="0" r="3810" b="4445"/>
                <wp:docPr id="6" name="Text Box 6"/>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04160AD2" w14:textId="77777777" w:rsidR="006F5E3E" w:rsidRDefault="006F5E3E" w:rsidP="006F5E3E">
                            <w:pPr>
                              <w:pStyle w:val="Heading1"/>
                            </w:pPr>
                            <w:r>
                              <w:t>Snapshot</w:t>
                            </w:r>
                          </w:p>
                          <w:p w14:paraId="5CA9D28F" w14:textId="77777777" w:rsidR="006F5E3E" w:rsidRPr="00406885" w:rsidRDefault="006F5E3E" w:rsidP="00406885">
                            <w:pPr>
                              <w:pStyle w:val="ListBullet"/>
                            </w:pPr>
                            <w:r w:rsidRPr="00406885">
                              <w:t xml:space="preserve">The Reserve Bank of Australia (RBA) controls monetary policy by adjusting the official cash rate based on indicators including employment, inflation, economic growth, </w:t>
                            </w:r>
                            <w:r w:rsidR="00A47E18">
                              <w:t>consumer confidence</w:t>
                            </w:r>
                            <w:r w:rsidRPr="00406885">
                              <w:t xml:space="preserve"> and the housing market.</w:t>
                            </w:r>
                          </w:p>
                          <w:p w14:paraId="79FFA198" w14:textId="77777777" w:rsidR="00A75923" w:rsidRPr="00406885" w:rsidRDefault="006F5E3E" w:rsidP="00406885">
                            <w:pPr>
                              <w:pStyle w:val="ListBullet"/>
                            </w:pPr>
                            <w:r w:rsidRPr="00406885">
                              <w:t>If the economy is growing too fast it can lead to high inflation, while weak economic growth can lead to unemployment, reduced incomes and lower living standards.</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type w14:anchorId="132E6E16" id="_x0000_t202" coordsize="21600,21600" o:spt="202" path="m,l,21600r21600,l21600,xe">
                <v:stroke joinstyle="miter"/>
                <v:path gradientshapeok="t" o:connecttype="rect"/>
              </v:shapetype>
              <v:shape id="Text Box 6" o:spid="_x0000_s1026"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" fillcolor="#ececec" stroked="f" strokeweight=".5pt">
                <v:textbox style="mso-fit-shape-to-text:t" inset="3mm,1mm,3mm,3mm">
                  <w:txbxContent>
                    <w:p w14:paraId="04160AD2" w14:textId="77777777" w:rsidR="006F5E3E" w:rsidRDefault="006F5E3E" w:rsidP="006F5E3E">
                      <w:pPr>
                        <w:pStyle w:val="Heading1"/>
                      </w:pPr>
                      <w:r>
                        <w:t>Snapshot</w:t>
                      </w:r>
                    </w:p>
                    <w:p w14:paraId="5CA9D28F" w14:textId="77777777" w:rsidR="006F5E3E" w:rsidRPr="00406885" w:rsidRDefault="006F5E3E" w:rsidP="00406885">
                      <w:pPr>
                        <w:pStyle w:val="ListBullet"/>
                      </w:pPr>
                      <w:r w:rsidRPr="00406885">
                        <w:t xml:space="preserve">The Reserve Bank of Australia (RBA) controls monetary policy by adjusting the official cash rate based on indicators including employment, inflation, economic growth, </w:t>
                      </w:r>
                      <w:r w:rsidR="00A47E18">
                        <w:t>consumer confidence</w:t>
                      </w:r>
                      <w:r w:rsidRPr="00406885">
                        <w:t xml:space="preserve"> and the housing market.</w:t>
                      </w:r>
                    </w:p>
                    <w:p w14:paraId="79FFA198" w14:textId="77777777" w:rsidR="00A75923" w:rsidRPr="00406885" w:rsidRDefault="006F5E3E" w:rsidP="00406885">
                      <w:pPr>
                        <w:pStyle w:val="ListBullet"/>
                      </w:pPr>
                      <w:r w:rsidRPr="00406885">
                        <w:t>If the economy is growing too fast it can lead to high inflation, while weak economic growth can lead to unemployment, reduced incomes and lower living standards.</w:t>
                      </w:r>
                    </w:p>
                  </w:txbxContent>
                </v:textbox>
                <w10:anchorlock/>
              </v:shape>
            </w:pict>
          </mc:Fallback>
        </mc:AlternateContent>
      </w:r>
    </w:p>
    <w:p w14:paraId="5EE748C4" w14:textId="77777777" w:rsidR="006F5E3E" w:rsidRDefault="006F5E3E" w:rsidP="006F5E3E">
      <w:pPr>
        <w:pStyle w:val="Heading1"/>
      </w:pPr>
      <w:r>
        <w:t>Who controls interest rates?</w:t>
      </w:r>
    </w:p>
    <w:p w14:paraId="69DF6D7A" w14:textId="77777777" w:rsidR="006F5E3E" w:rsidRDefault="006F5E3E" w:rsidP="006F5E3E">
      <w:r>
        <w:t xml:space="preserve">Movements in official interest rates are determined by the RBA. Their objective is to ensure that price growth (inflation) remains low and </w:t>
      </w:r>
      <w:proofErr w:type="gramStart"/>
      <w:r>
        <w:t>stable</w:t>
      </w:r>
      <w:proofErr w:type="gramEnd"/>
      <w:r>
        <w:t xml:space="preserve"> and it uses ‘monetary policy’ to do this. Monetary policy involves either increasing the cost of money (interest rates) to slow the economy down, or lowering the cost of money to encourage spending which promotes economic growth.</w:t>
      </w:r>
    </w:p>
    <w:p w14:paraId="3B77DF33" w14:textId="77777777" w:rsidR="006F5E3E" w:rsidRDefault="006F5E3E" w:rsidP="006F5E3E">
      <w:pPr>
        <w:pStyle w:val="Heading1"/>
      </w:pPr>
      <w:r>
        <w:t xml:space="preserve">The official cash </w:t>
      </w:r>
      <w:proofErr w:type="gramStart"/>
      <w:r>
        <w:t>rate</w:t>
      </w:r>
      <w:proofErr w:type="gramEnd"/>
    </w:p>
    <w:p w14:paraId="00BA875D" w14:textId="77777777" w:rsidR="006F5E3E" w:rsidRDefault="006F5E3E" w:rsidP="006F5E3E">
      <w:r>
        <w:t>One of the ways the RBA manages</w:t>
      </w:r>
      <w:r w:rsidR="00A47E18">
        <w:t xml:space="preserve"> the</w:t>
      </w:r>
      <w:r>
        <w:t xml:space="preserve"> rate of growth of the economy is by making changes to the interest rate it charges financial institutions, commonly referred to as the ‘official cash rate’. This cash rate feeds through to financial products which have variable interest rates, such as savings accounts, cash management trusts, variable rate mortgages and personal loans. It also impacts cost of funding for the banks.</w:t>
      </w:r>
    </w:p>
    <w:p w14:paraId="0EE7BA7A" w14:textId="77777777" w:rsidR="006F5E3E" w:rsidRDefault="006F5E3E" w:rsidP="006F5E3E">
      <w:pPr>
        <w:pStyle w:val="Heading1"/>
      </w:pPr>
      <w:r>
        <w:t>Consumer Price Index (CPI)</w:t>
      </w:r>
    </w:p>
    <w:p w14:paraId="6AE99CEE" w14:textId="77777777" w:rsidR="006F5E3E" w:rsidRDefault="006F5E3E" w:rsidP="006F5E3E">
      <w:r>
        <w:t>The RBA monitors inflation through the Consumer Price Index (CPI) which measures price changes on a basket of goods and services that a typical consumer would buy. A rise in inflation can lead to a rise in interest rates. While low inflation can allow the RBA to lower interest rates. The RBA targets inflation to be between 2% and 3% over the economic cycle. If inflation is towards the top end of this band or above it and rising, this is a signal that the RBA may lift the official cash rate. While if inflation is at the low end of this band and other indicators such as growth and employment are weaker, this could signal the RBA may cut the official cash rate.</w:t>
      </w:r>
    </w:p>
    <w:p w14:paraId="1F364E29" w14:textId="77777777" w:rsidR="006F5E3E" w:rsidRDefault="003A0305" w:rsidP="006F5E3E">
      <w:pPr>
        <w:pStyle w:val="Heading1"/>
      </w:pPr>
      <w:r>
        <w:br w:type="column"/>
      </w:r>
      <w:r w:rsidR="006F5E3E">
        <w:t>What drives interest rate changes?</w:t>
      </w:r>
    </w:p>
    <w:p w14:paraId="01614826" w14:textId="77777777" w:rsidR="006F5E3E" w:rsidRDefault="006F5E3E" w:rsidP="006F5E3E">
      <w:pPr>
        <w:pStyle w:val="Heading2"/>
      </w:pPr>
      <w:r>
        <w:t>Economic outlook</w:t>
      </w:r>
    </w:p>
    <w:p w14:paraId="0C1997B3" w14:textId="77777777" w:rsidR="006F5E3E" w:rsidRDefault="006F5E3E" w:rsidP="00406885">
      <w:r>
        <w:t xml:space="preserve">Changes to the official cash rate are based on the outlook for economic growth and inflation. The RBA uses </w:t>
      </w:r>
      <w:proofErr w:type="gramStart"/>
      <w:r>
        <w:t>a number of</w:t>
      </w:r>
      <w:proofErr w:type="gramEnd"/>
      <w:r>
        <w:t xml:space="preserve"> economic indicators such as employment, investment spend</w:t>
      </w:r>
      <w:r w:rsidR="006B03A9">
        <w:t>ing</w:t>
      </w:r>
      <w:r>
        <w:t>, consumer and business confidence and the housing market to determine the overall strength of the economy and how this will impact on inflation.</w:t>
      </w:r>
    </w:p>
    <w:p w14:paraId="4CDD62DA" w14:textId="77777777" w:rsidR="006F5E3E" w:rsidRDefault="006F5E3E" w:rsidP="006F5E3E">
      <w:r>
        <w:t>The RBA’s function is vitally important as an increase in unemployment generally points to a slowing economy, which may lead the RBA to cut rates to encourage consumer spending and growth. On the other hand, strong growth in employment can fuel inflation by creating wages growth, in which case an interest rate rise may be necessary, to stop the economy overheating.</w:t>
      </w:r>
    </w:p>
    <w:p w14:paraId="64262CB5" w14:textId="77777777" w:rsidR="006F5E3E" w:rsidRDefault="006F5E3E" w:rsidP="006F5E3E">
      <w:pPr>
        <w:pStyle w:val="Heading2"/>
      </w:pPr>
      <w:r>
        <w:t>Global outlook</w:t>
      </w:r>
    </w:p>
    <w:p w14:paraId="278E064E" w14:textId="77777777" w:rsidR="006F5E3E" w:rsidRDefault="006F5E3E" w:rsidP="006F5E3E">
      <w:r>
        <w:t>The RBA also looks at important international factors that will drive the performance of the Australian economy, in particular demand for and the price of Australia’s natural resources. If Australia’s trading partners are growing strongly and demand and prices of raw materials are rising, this can lead to strong economic growth in Australia and place upward pressure on interest rates. While if commodity prices and demand for our natural resources falls, this could point to slower growth going forward. Lower interest rates may be necessary.</w:t>
      </w:r>
    </w:p>
    <w:p w14:paraId="0E949D0E" w14:textId="77777777" w:rsidR="006F5E3E" w:rsidRDefault="006F5E3E" w:rsidP="006F5E3E">
      <w:r>
        <w:t xml:space="preserve">The broader global economic outlook is also considered given the important transmission to Australia through consumer and business confidence, the share market and broader economic activity. The global outlook can be impacted by </w:t>
      </w:r>
      <w:proofErr w:type="gramStart"/>
      <w:r>
        <w:t>a number of</w:t>
      </w:r>
      <w:proofErr w:type="gramEnd"/>
      <w:r>
        <w:t xml:space="preserve"> factors, including sovereign debt concerns, global interest rate moves and natural disasters.</w:t>
      </w:r>
    </w:p>
    <w:p w14:paraId="7659D6D5" w14:textId="77777777" w:rsidR="006F5E3E" w:rsidRDefault="006F5E3E" w:rsidP="006F5E3E">
      <w:pPr>
        <w:pStyle w:val="Heading1"/>
      </w:pPr>
      <w:r>
        <w:t>When do interest rates change?</w:t>
      </w:r>
    </w:p>
    <w:p w14:paraId="6F93A4C9" w14:textId="77777777" w:rsidR="00482A89" w:rsidRDefault="006F5E3E" w:rsidP="006F5E3E">
      <w:r>
        <w:t>The RBA meets 11 times a year on the first Tuesday of each month, except in January. When they meet, they will raise the official cash rate, reduce it, or keep it the same. For the official cash rate, please refer to www.rba.gov.au.</w:t>
      </w:r>
    </w:p>
    <w:p w14:paraId="0E259328" w14:textId="77777777" w:rsidR="004828DA" w:rsidRDefault="004828DA" w:rsidP="006F5E3E">
      <w:pPr>
        <w:pStyle w:val="Heading1"/>
      </w:pPr>
      <w:r>
        <w:br w:type="page"/>
      </w:r>
    </w:p>
    <w:p w14:paraId="528B1ACE" w14:textId="77777777" w:rsidR="00ED6C4D" w:rsidRDefault="006F5E3E" w:rsidP="006F5E3E">
      <w:pPr>
        <w:pStyle w:val="Heading1"/>
      </w:pPr>
      <w:r>
        <w:lastRenderedPageBreak/>
        <w:t xml:space="preserve">How do interest rate </w:t>
      </w:r>
      <w:proofErr w:type="gramStart"/>
      <w:r>
        <w:t>changes</w:t>
      </w:r>
      <w:proofErr w:type="gramEnd"/>
      <w:r>
        <w:t xml:space="preserve"> </w:t>
      </w:r>
    </w:p>
    <w:p w14:paraId="3D90304C" w14:textId="77777777" w:rsidR="006F5E3E" w:rsidRDefault="006F5E3E" w:rsidP="006F5E3E">
      <w:pPr>
        <w:pStyle w:val="Heading1"/>
      </w:pPr>
      <w:r>
        <w:t>affect investments?</w:t>
      </w:r>
    </w:p>
    <w:p w14:paraId="5F9996D2" w14:textId="77777777" w:rsidR="006F5E3E" w:rsidRDefault="006F5E3E" w:rsidP="006F5E3E">
      <w:r>
        <w:t>Interest rates rises are generally good news for people with savings. For those looking to invest in term deposits or bonds, an increase in interest rates will generally mean higher rates of return. Term deposits usually offer higher returns in a rising interest rate environment and lower returns in a falling interest rate environment. This is the reason investors may hold a diversified investment portfolio including asset classes, less sensitive to immediate interest rate changes.</w:t>
      </w:r>
    </w:p>
    <w:p w14:paraId="223BCD82" w14:textId="77777777" w:rsidR="006F5E3E" w:rsidRDefault="006F5E3E" w:rsidP="006F5E3E">
      <w:r>
        <w:t xml:space="preserve">For those holding fixed interest investments such as government and corporate bonds, interest rate increases may mean the value of these bonds will decrease. This is because the capital value of a bond falls as interest rates </w:t>
      </w:r>
      <w:proofErr w:type="gramStart"/>
      <w:r>
        <w:t>rise</w:t>
      </w:r>
      <w:proofErr w:type="gramEnd"/>
      <w:r>
        <w:t>. While lower interest rates can mean an increase in the capital value of these bonds, any new money invested in bonds will occur at lower interest rates and the yield or return you receive will be lower in the future.</w:t>
      </w:r>
    </w:p>
    <w:p w14:paraId="6B47B82F" w14:textId="77777777" w:rsidR="006F5E3E" w:rsidRDefault="006F5E3E" w:rsidP="006F5E3E">
      <w:r>
        <w:t>Also, as Australian interest rates rise, the Australian dollar generally strengthens against other currencies, as overseas investors are attracted to a higher yield, driving up demand for the Australian currency. In the same way, this can reduce the returns from global shares for Australian investors.</w:t>
      </w:r>
    </w:p>
    <w:p w14:paraId="3971D99D" w14:textId="77777777" w:rsidR="006F5E3E" w:rsidRDefault="006F5E3E" w:rsidP="006F5E3E">
      <w:r>
        <w:t>When interest rates fall, the Australian dollar usually weakens making Australian commodities and exports more affordable for offshore buyers.</w:t>
      </w:r>
    </w:p>
    <w:p w14:paraId="5FB61D4C" w14:textId="77777777" w:rsidR="006F5E3E" w:rsidRDefault="006F5E3E" w:rsidP="006F5E3E">
      <w:r>
        <w:t>It’s worthwhile to regularly review how the latest interest rates affect your investments to make sure you stay on track with your investment strategy. Talk to your financial adviser if you have any questions.</w:t>
      </w:r>
    </w:p>
    <w:p w14:paraId="688ECE77" w14:textId="77777777" w:rsidR="006F5E3E" w:rsidRDefault="004828DA" w:rsidP="006F5E3E">
      <w:pPr>
        <w:pStyle w:val="Heading1"/>
      </w:pPr>
      <w:r>
        <w:br w:type="column"/>
      </w:r>
      <w:r w:rsidR="006F5E3E">
        <w:t>How do interest rate changes affect you?</w:t>
      </w:r>
    </w:p>
    <w:p w14:paraId="49938D9C" w14:textId="77777777" w:rsidR="006F5E3E" w:rsidRDefault="006F5E3E" w:rsidP="006F5E3E">
      <w:r>
        <w:t>For many Australians, a rise in interest rates will mean increased repayments on mortgages, loans and credit cards. With less disposable income, many people may need to tighten their belts.</w:t>
      </w:r>
    </w:p>
    <w:p w14:paraId="3CAC8678" w14:textId="77777777" w:rsidR="006F5E3E" w:rsidRDefault="006F5E3E" w:rsidP="006F5E3E">
      <w:r>
        <w:t xml:space="preserve">Interest rate rises can be tough for families and small businesses, as increased mortgage and debt repayments can make life more difficult and expensive. While lower interest rates can mean a respite in terms of lower debt </w:t>
      </w:r>
      <w:proofErr w:type="gramStart"/>
      <w:r>
        <w:t>repayments, or</w:t>
      </w:r>
      <w:proofErr w:type="gramEnd"/>
      <w:r>
        <w:t xml:space="preserve"> provide an opportunity to get ahead on your mortgage.</w:t>
      </w:r>
    </w:p>
    <w:p w14:paraId="41AF798B" w14:textId="77777777" w:rsidR="006F5E3E" w:rsidRDefault="006F5E3E" w:rsidP="006F5E3E">
      <w:r>
        <w:t>When reviewing your finances make sure you look at how interest rates are tracking and if necessary, build in a buffer for further increases that might affect your repayments. It may also be worth looking at consolidating your debts and renegotiating your current interest rates to protect yourself from future increases.</w:t>
      </w:r>
    </w:p>
    <w:p w14:paraId="03D69C12" w14:textId="77777777" w:rsidR="007D0D3E" w:rsidRDefault="006F5E3E" w:rsidP="006F5E3E">
      <w:r>
        <w:t>The table below summarises some of the economic consequences of interest rate changes.</w:t>
      </w:r>
    </w:p>
    <w:tbl>
      <w:tblPr>
        <w:tblStyle w:val="MediumShading1-Accent1"/>
        <w:tblW w:w="0" w:type="auto"/>
        <w:tblLayout w:type="fixed"/>
        <w:tblLook w:val="0420" w:firstRow="1" w:lastRow="0" w:firstColumn="0" w:lastColumn="0" w:noHBand="0" w:noVBand="1"/>
      </w:tblPr>
      <w:tblGrid>
        <w:gridCol w:w="2580"/>
        <w:gridCol w:w="2579"/>
      </w:tblGrid>
      <w:tr w:rsidR="00CA7FCE" w:rsidRPr="00CA7FCE" w14:paraId="00F1389E" w14:textId="77777777" w:rsidTr="00CA7FCE">
        <w:trPr>
          <w:cnfStyle w:val="100000000000" w:firstRow="1" w:lastRow="0" w:firstColumn="0" w:lastColumn="0" w:oddVBand="0" w:evenVBand="0" w:oddHBand="0" w:evenHBand="0" w:firstRowFirstColumn="0" w:firstRowLastColumn="0" w:lastRowFirstColumn="0" w:lastRowLastColumn="0"/>
          <w:trHeight w:val="60"/>
        </w:trPr>
        <w:tc>
          <w:tcPr>
            <w:tcW w:w="2580" w:type="dxa"/>
          </w:tcPr>
          <w:p w14:paraId="5B2E1875" w14:textId="77777777" w:rsidR="00CA7FCE" w:rsidRPr="00CA7FCE" w:rsidRDefault="00CA7FCE" w:rsidP="00CA7FCE">
            <w:pPr>
              <w:pStyle w:val="TableText"/>
              <w:rPr>
                <w:lang w:val="en-US"/>
              </w:rPr>
            </w:pPr>
            <w:r w:rsidRPr="00CA7FCE">
              <w:rPr>
                <w:lang w:val="en-US"/>
              </w:rPr>
              <w:t>Increase in interest rates</w:t>
            </w:r>
          </w:p>
        </w:tc>
        <w:tc>
          <w:tcPr>
            <w:tcW w:w="2579" w:type="dxa"/>
          </w:tcPr>
          <w:p w14:paraId="126D2A02" w14:textId="77777777" w:rsidR="00CA7FCE" w:rsidRPr="00CA7FCE" w:rsidRDefault="00CA7FCE" w:rsidP="00CA7FCE">
            <w:pPr>
              <w:pStyle w:val="TableText"/>
              <w:rPr>
                <w:lang w:val="en-US"/>
              </w:rPr>
            </w:pPr>
            <w:r w:rsidRPr="00CA7FCE">
              <w:rPr>
                <w:lang w:val="en-US"/>
              </w:rPr>
              <w:t>Decrease in interest rates</w:t>
            </w:r>
          </w:p>
        </w:tc>
      </w:tr>
      <w:tr w:rsidR="00CA7FCE" w:rsidRPr="00CA7FCE" w14:paraId="31501820" w14:textId="77777777" w:rsidTr="00CA7FCE">
        <w:trPr>
          <w:trHeight w:val="60"/>
        </w:trPr>
        <w:tc>
          <w:tcPr>
            <w:tcW w:w="2580" w:type="dxa"/>
          </w:tcPr>
          <w:p w14:paraId="4115A71E" w14:textId="77777777" w:rsidR="00CA7FCE" w:rsidRPr="00CA7FCE" w:rsidRDefault="00CA7FCE" w:rsidP="00CA7FCE">
            <w:pPr>
              <w:pStyle w:val="TableText"/>
              <w:rPr>
                <w:lang w:val="en-US"/>
              </w:rPr>
            </w:pPr>
            <w:r w:rsidRPr="00CA7FCE">
              <w:rPr>
                <w:lang w:val="en-US"/>
              </w:rPr>
              <w:t>Increases the cost of mortgage interest payments</w:t>
            </w:r>
          </w:p>
        </w:tc>
        <w:tc>
          <w:tcPr>
            <w:tcW w:w="2579" w:type="dxa"/>
          </w:tcPr>
          <w:p w14:paraId="76B8F9B2" w14:textId="77777777" w:rsidR="00CA7FCE" w:rsidRPr="00CA7FCE" w:rsidRDefault="00CA7FCE" w:rsidP="00CA7FCE">
            <w:pPr>
              <w:pStyle w:val="TableText"/>
              <w:rPr>
                <w:lang w:val="en-US"/>
              </w:rPr>
            </w:pPr>
            <w:r w:rsidRPr="00CA7FCE">
              <w:rPr>
                <w:lang w:val="en-US"/>
              </w:rPr>
              <w:t>Makes mortgage interest payments more affordable</w:t>
            </w:r>
          </w:p>
        </w:tc>
      </w:tr>
      <w:tr w:rsidR="00CA7FCE" w:rsidRPr="00CA7FCE" w14:paraId="7AB30477" w14:textId="77777777" w:rsidTr="00CA7FCE">
        <w:trPr>
          <w:cnfStyle w:val="000000010000" w:firstRow="0" w:lastRow="0" w:firstColumn="0" w:lastColumn="0" w:oddVBand="0" w:evenVBand="0" w:oddHBand="0" w:evenHBand="1" w:firstRowFirstColumn="0" w:firstRowLastColumn="0" w:lastRowFirstColumn="0" w:lastRowLastColumn="0"/>
          <w:trHeight w:val="60"/>
        </w:trPr>
        <w:tc>
          <w:tcPr>
            <w:tcW w:w="2580" w:type="dxa"/>
          </w:tcPr>
          <w:p w14:paraId="68BA6435" w14:textId="77777777" w:rsidR="00CA7FCE" w:rsidRPr="00CA7FCE" w:rsidRDefault="00CA7FCE" w:rsidP="00CA7FCE">
            <w:pPr>
              <w:pStyle w:val="TableText"/>
              <w:rPr>
                <w:lang w:val="en-US"/>
              </w:rPr>
            </w:pPr>
            <w:r w:rsidRPr="00CA7FCE">
              <w:rPr>
                <w:lang w:val="en-US"/>
              </w:rPr>
              <w:t>Reduces personal disposable income</w:t>
            </w:r>
          </w:p>
        </w:tc>
        <w:tc>
          <w:tcPr>
            <w:tcW w:w="2579" w:type="dxa"/>
          </w:tcPr>
          <w:p w14:paraId="51A32443" w14:textId="77777777" w:rsidR="00CA7FCE" w:rsidRPr="00CA7FCE" w:rsidRDefault="00CA7FCE" w:rsidP="00CA7FCE">
            <w:pPr>
              <w:pStyle w:val="TableText"/>
              <w:rPr>
                <w:lang w:val="en-US"/>
              </w:rPr>
            </w:pPr>
            <w:r w:rsidRPr="00CA7FCE">
              <w:rPr>
                <w:lang w:val="en-US"/>
              </w:rPr>
              <w:t>Increases personal disposable income</w:t>
            </w:r>
          </w:p>
        </w:tc>
      </w:tr>
      <w:tr w:rsidR="00CA7FCE" w:rsidRPr="00CA7FCE" w14:paraId="6063257E" w14:textId="77777777" w:rsidTr="00CA7FCE">
        <w:trPr>
          <w:trHeight w:val="60"/>
        </w:trPr>
        <w:tc>
          <w:tcPr>
            <w:tcW w:w="2580" w:type="dxa"/>
          </w:tcPr>
          <w:p w14:paraId="40BF392C" w14:textId="77777777" w:rsidR="00CA7FCE" w:rsidRPr="00CA7FCE" w:rsidRDefault="00CA7FCE" w:rsidP="00CA7FCE">
            <w:pPr>
              <w:pStyle w:val="TableText"/>
              <w:rPr>
                <w:lang w:val="en-US"/>
              </w:rPr>
            </w:pPr>
            <w:r w:rsidRPr="00CA7FCE">
              <w:rPr>
                <w:lang w:val="en-US"/>
              </w:rPr>
              <w:t>Increases incentive to save rather than spend</w:t>
            </w:r>
          </w:p>
        </w:tc>
        <w:tc>
          <w:tcPr>
            <w:tcW w:w="2579" w:type="dxa"/>
          </w:tcPr>
          <w:p w14:paraId="03013537" w14:textId="77777777" w:rsidR="00CA7FCE" w:rsidRPr="00CA7FCE" w:rsidRDefault="00CA7FCE" w:rsidP="00CA7FCE">
            <w:pPr>
              <w:pStyle w:val="TableText"/>
              <w:rPr>
                <w:lang w:val="en-US"/>
              </w:rPr>
            </w:pPr>
            <w:r w:rsidRPr="00CA7FCE">
              <w:rPr>
                <w:lang w:val="en-US"/>
              </w:rPr>
              <w:t>Encourages spending</w:t>
            </w:r>
          </w:p>
        </w:tc>
      </w:tr>
      <w:tr w:rsidR="00CA7FCE" w:rsidRPr="00CA7FCE" w14:paraId="12D7E51B" w14:textId="77777777" w:rsidTr="00CA7FCE">
        <w:trPr>
          <w:cnfStyle w:val="000000010000" w:firstRow="0" w:lastRow="0" w:firstColumn="0" w:lastColumn="0" w:oddVBand="0" w:evenVBand="0" w:oddHBand="0" w:evenHBand="1" w:firstRowFirstColumn="0" w:firstRowLastColumn="0" w:lastRowFirstColumn="0" w:lastRowLastColumn="0"/>
          <w:trHeight w:val="60"/>
        </w:trPr>
        <w:tc>
          <w:tcPr>
            <w:tcW w:w="2580" w:type="dxa"/>
          </w:tcPr>
          <w:p w14:paraId="56A23A8D" w14:textId="77777777" w:rsidR="00CA7FCE" w:rsidRPr="00CA7FCE" w:rsidRDefault="00CA7FCE" w:rsidP="00CA7FCE">
            <w:pPr>
              <w:pStyle w:val="TableText"/>
              <w:rPr>
                <w:lang w:val="en-US"/>
              </w:rPr>
            </w:pPr>
            <w:r w:rsidRPr="00CA7FCE">
              <w:rPr>
                <w:lang w:val="en-US"/>
              </w:rPr>
              <w:t>Strengthens the value of the Australian dollar</w:t>
            </w:r>
          </w:p>
        </w:tc>
        <w:tc>
          <w:tcPr>
            <w:tcW w:w="2579" w:type="dxa"/>
          </w:tcPr>
          <w:p w14:paraId="28AD13A8" w14:textId="77777777" w:rsidR="00CA7FCE" w:rsidRPr="00CA7FCE" w:rsidRDefault="00CA7FCE" w:rsidP="00CA7FCE">
            <w:pPr>
              <w:pStyle w:val="TableText"/>
              <w:rPr>
                <w:lang w:val="en-US"/>
              </w:rPr>
            </w:pPr>
            <w:r w:rsidRPr="00CA7FCE">
              <w:rPr>
                <w:lang w:val="en-US"/>
              </w:rPr>
              <w:t>Weakens the value of the Australian dollar</w:t>
            </w:r>
          </w:p>
        </w:tc>
      </w:tr>
      <w:tr w:rsidR="00CA7FCE" w:rsidRPr="00CA7FCE" w14:paraId="6727713B" w14:textId="77777777" w:rsidTr="00CA7FCE">
        <w:trPr>
          <w:trHeight w:val="60"/>
        </w:trPr>
        <w:tc>
          <w:tcPr>
            <w:tcW w:w="2580" w:type="dxa"/>
          </w:tcPr>
          <w:p w14:paraId="7F7D04D0" w14:textId="77777777" w:rsidR="00CA7FCE" w:rsidRPr="00CA7FCE" w:rsidRDefault="00CA7FCE" w:rsidP="00CA7FCE">
            <w:pPr>
              <w:pStyle w:val="TableText"/>
              <w:rPr>
                <w:lang w:val="en-US"/>
              </w:rPr>
            </w:pPr>
            <w:r w:rsidRPr="00CA7FCE">
              <w:rPr>
                <w:lang w:val="en-US"/>
              </w:rPr>
              <w:t>Reduces consumption and investment</w:t>
            </w:r>
          </w:p>
        </w:tc>
        <w:tc>
          <w:tcPr>
            <w:tcW w:w="2579" w:type="dxa"/>
          </w:tcPr>
          <w:p w14:paraId="7A2E8EC1" w14:textId="77777777" w:rsidR="00CA7FCE" w:rsidRPr="00CA7FCE" w:rsidRDefault="00CA7FCE" w:rsidP="00CA7FCE">
            <w:pPr>
              <w:pStyle w:val="TableText"/>
              <w:rPr>
                <w:lang w:val="en-US"/>
              </w:rPr>
            </w:pPr>
            <w:r w:rsidRPr="00CA7FCE">
              <w:rPr>
                <w:lang w:val="en-US"/>
              </w:rPr>
              <w:t>Encourages investment in property</w:t>
            </w:r>
          </w:p>
        </w:tc>
      </w:tr>
    </w:tbl>
    <w:p w14:paraId="6F2FCCA8" w14:textId="77777777" w:rsidR="00714E34" w:rsidRDefault="00714E34" w:rsidP="00714E34">
      <w:pPr>
        <w:pStyle w:val="TableText"/>
      </w:pPr>
    </w:p>
    <w:p w14:paraId="17CB3C46" w14:textId="77777777" w:rsidR="006F5E3E" w:rsidRPr="008B4961" w:rsidRDefault="006F5E3E" w:rsidP="006F5E3E">
      <w:r w:rsidRPr="008B4961">
        <w:rPr>
          <w:noProof/>
          <w:lang w:eastAsia="en-AU"/>
        </w:rPr>
        <mc:AlternateContent>
          <mc:Choice Requires="wps">
            <w:drawing>
              <wp:inline distT="0" distB="0" distL="0" distR="0" wp14:anchorId="32BFEF14" wp14:editId="08439E2C">
                <wp:extent cx="3253740" cy="914400"/>
                <wp:effectExtent l="0" t="0" r="3810" b="4445"/>
                <wp:docPr id="2" name="Text Box 2"/>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6CCB2A9F" w14:textId="77777777" w:rsidR="006F5E3E" w:rsidRPr="006F5E3E" w:rsidRDefault="006F5E3E" w:rsidP="006F5E3E">
                            <w:pPr>
                              <w:pStyle w:val="Heading1"/>
                            </w:pPr>
                            <w:r w:rsidRPr="006F5E3E">
                              <w:t>Key takeaways</w:t>
                            </w:r>
                          </w:p>
                          <w:p w14:paraId="492F11FE" w14:textId="77777777" w:rsidR="006F5E3E" w:rsidRPr="006F5E3E" w:rsidRDefault="006F5E3E" w:rsidP="006F5E3E">
                            <w:pPr>
                              <w:pStyle w:val="ListBullet"/>
                            </w:pPr>
                            <w:r w:rsidRPr="006F5E3E">
                              <w:t>Keep an eye on interest rate changes to maintain your investment strategy.</w:t>
                            </w:r>
                          </w:p>
                          <w:p w14:paraId="2DD21D68" w14:textId="77777777" w:rsidR="006F5E3E" w:rsidRDefault="006F5E3E" w:rsidP="006F5E3E">
                            <w:pPr>
                              <w:pStyle w:val="ListBullet"/>
                            </w:pPr>
                            <w:r w:rsidRPr="006F5E3E">
                              <w:t>Talk to your financial adviser to ensure your portfolio is diversified across the main asset classes to reduce interest rate impacts</w:t>
                            </w:r>
                            <w:r w:rsidRPr="006F5E3E">
                              <w:rPr>
                                <w:rFonts w:eastAsiaTheme="majorEastAsia"/>
                              </w:rPr>
                              <w:t>.</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 w14:anchorId="32BFEF14" id="Text Box 2" o:spid="_x0000_s1027"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" fillcolor="#ececec" stroked="f" strokeweight=".5pt">
                <v:textbox style="mso-fit-shape-to-text:t" inset="3mm,1mm,3mm,3mm">
                  <w:txbxContent>
                    <w:p w14:paraId="6CCB2A9F" w14:textId="77777777" w:rsidR="006F5E3E" w:rsidRPr="006F5E3E" w:rsidRDefault="006F5E3E" w:rsidP="006F5E3E">
                      <w:pPr>
                        <w:pStyle w:val="Heading1"/>
                      </w:pPr>
                      <w:r w:rsidRPr="006F5E3E">
                        <w:t>Key takeaways</w:t>
                      </w:r>
                    </w:p>
                    <w:p w14:paraId="492F11FE" w14:textId="77777777" w:rsidR="006F5E3E" w:rsidRPr="006F5E3E" w:rsidRDefault="006F5E3E" w:rsidP="006F5E3E">
                      <w:pPr>
                        <w:pStyle w:val="ListBullet"/>
                      </w:pPr>
                      <w:r w:rsidRPr="006F5E3E">
                        <w:t>Keep an eye on interest rate changes to maintain your investment strategy.</w:t>
                      </w:r>
                    </w:p>
                    <w:p w14:paraId="2DD21D68" w14:textId="77777777" w:rsidR="006F5E3E" w:rsidRDefault="006F5E3E" w:rsidP="006F5E3E">
                      <w:pPr>
                        <w:pStyle w:val="ListBullet"/>
                      </w:pPr>
                      <w:r w:rsidRPr="006F5E3E">
                        <w:t>Talk to your financial adviser to ensure your portfolio is diversified across the main asset classes to reduce interest rate impacts</w:t>
                      </w:r>
                      <w:r w:rsidRPr="006F5E3E">
                        <w:rPr>
                          <w:rFonts w:eastAsiaTheme="majorEastAsia"/>
                        </w:rPr>
                        <w:t>.</w:t>
                      </w:r>
                    </w:p>
                  </w:txbxContent>
                </v:textbox>
                <w10:anchorlock/>
              </v:shape>
            </w:pict>
          </mc:Fallback>
        </mc:AlternateContent>
      </w:r>
    </w:p>
    <w:p w14:paraId="70BEFA57" w14:textId="77777777" w:rsidR="00A75923" w:rsidRPr="00783D34" w:rsidRDefault="00A75923" w:rsidP="00783D34"/>
    <w:p w14:paraId="6996DA75" w14:textId="77777777" w:rsidR="00714278" w:rsidRPr="00DD4B38" w:rsidRDefault="00714278" w:rsidP="00473E33">
      <w:pPr>
        <w:numPr>
          <w:ilvl w:val="0"/>
          <w:numId w:val="5"/>
        </w:numPr>
        <w:spacing w:line="280" w:lineRule="exact"/>
        <w:rPr>
          <w:rFonts w:cstheme="minorHAnsi"/>
        </w:rPr>
        <w:sectPr w:rsidR="00714278" w:rsidRPr="00DD4B38" w:rsidSect="004266E2">
          <w:type w:val="continuous"/>
          <w:pgSz w:w="11907" w:h="16840" w:code="9"/>
          <w:pgMar w:top="680" w:right="680" w:bottom="340" w:left="680" w:header="454" w:footer="340" w:gutter="0"/>
          <w:cols w:num="2" w:space="284"/>
          <w:noEndnote/>
          <w:titlePg/>
          <w:docGrid w:linePitch="272"/>
        </w:sectPr>
      </w:pPr>
    </w:p>
    <w:p w14:paraId="5B47A846" w14:textId="77777777" w:rsidR="0042572A" w:rsidRDefault="0042572A" w:rsidP="00406885"/>
    <w:p w14:paraId="670F633D" w14:textId="1F0D45D8" w:rsidR="00406885" w:rsidRPr="001203E5" w:rsidRDefault="00406885" w:rsidP="00406885">
      <w:r>
        <w:br/>
      </w:r>
    </w:p>
    <w:p w14:paraId="0F64DF37" w14:textId="77777777" w:rsidR="001203E5" w:rsidRPr="001203E5" w:rsidRDefault="001203E5" w:rsidP="001203E5">
      <w:pPr>
        <w:spacing w:before="0" w:after="0"/>
        <w:rPr>
          <w:rFonts w:ascii="Arial" w:hAnsi="Arial"/>
          <w:sz w:val="22"/>
          <w:szCs w:val="22"/>
          <w:lang w:eastAsia="en-AU"/>
        </w:rPr>
        <w:sectPr w:rsidR="001203E5" w:rsidRPr="001203E5" w:rsidSect="004266E2">
          <w:footerReference w:type="default" r:id="rId12"/>
          <w:headerReference w:type="first" r:id="rId13"/>
          <w:footerReference w:type="first" r:id="rId14"/>
          <w:type w:val="continuous"/>
          <w:pgSz w:w="11907" w:h="16840" w:code="9"/>
          <w:pgMar w:top="680" w:right="680" w:bottom="340" w:left="680" w:header="454" w:footer="340" w:gutter="0"/>
          <w:cols w:space="720"/>
          <w:formProt w:val="0"/>
          <w:noEndnote/>
          <w:titlePg/>
          <w:docGrid w:linePitch="272"/>
        </w:sectPr>
      </w:pPr>
    </w:p>
    <w:p w14:paraId="2BD3FD99" w14:textId="3AF744C3" w:rsidR="001203E5" w:rsidRPr="001203E5" w:rsidRDefault="001203E5" w:rsidP="001203E5">
      <w:pPr>
        <w:spacing w:before="0" w:after="0"/>
        <w:rPr>
          <w:rFonts w:ascii="Arial" w:hAnsi="Arial"/>
          <w:sz w:val="2"/>
          <w:szCs w:val="2"/>
        </w:rPr>
      </w:pPr>
    </w:p>
    <w:p w14:paraId="7EB4AE65" w14:textId="5B3D4363" w:rsidR="00FB2A81" w:rsidRPr="0086264A" w:rsidRDefault="00CB2A5A" w:rsidP="0086264A">
      <w:pPr>
        <w:spacing w:before="0" w:after="0"/>
        <w:rPr>
          <w:sz w:val="2"/>
          <w:szCs w:val="2"/>
        </w:rPr>
      </w:pPr>
      <w:r w:rsidRPr="001C6A7A">
        <w:rPr>
          <w:rFonts w:ascii="Arial" w:hAnsi="Arial"/>
          <w:b/>
          <w:bCs/>
          <w:noProof/>
          <w:lang w:eastAsia="en-AU"/>
        </w:rPr>
        <mc:AlternateContent>
          <mc:Choice Requires="wps">
            <w:drawing>
              <wp:anchor distT="360045" distB="0" distL="114300" distR="114300" simplePos="0" relativeHeight="251659264" behindDoc="0" locked="0" layoutInCell="0" allowOverlap="1" wp14:anchorId="2F36DE56" wp14:editId="584F1796">
                <wp:simplePos x="0" y="0"/>
                <wp:positionH relativeFrom="page">
                  <wp:align>right</wp:align>
                </wp:positionH>
                <wp:positionV relativeFrom="page">
                  <wp:posOffset>8282400</wp:posOffset>
                </wp:positionV>
                <wp:extent cx="7559675" cy="323342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3233420"/>
                        </a:xfrm>
                        <a:prstGeom prst="rect">
                          <a:avLst/>
                        </a:prstGeom>
                        <a:solidFill>
                          <a:sysClr val="window" lastClr="FFFFFF"/>
                        </a:solidFill>
                        <a:ln w="6350">
                          <a:noFill/>
                        </a:ln>
                        <a:effectLst/>
                      </wps:spPr>
                      <wps:txbx>
                        <w:txbxContent>
                          <w:tbl>
                            <w:tblPr>
                              <w:tblStyle w:val="TableGrid4"/>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5C511F" w:rsidRPr="00B918C4" w14:paraId="465815FE" w14:textId="77777777" w:rsidTr="00A43D8B">
                              <w:tc>
                                <w:tcPr>
                                  <w:tcW w:w="10751" w:type="dxa"/>
                                  <w:gridSpan w:val="2"/>
                                  <w:tcMar>
                                    <w:top w:w="198" w:type="dxa"/>
                                    <w:bottom w:w="85" w:type="dxa"/>
                                  </w:tcMar>
                                </w:tcPr>
                                <w:p w14:paraId="2FE02E2C" w14:textId="6C072131" w:rsidR="005C511F" w:rsidRPr="001C6A7A" w:rsidRDefault="0086082E" w:rsidP="007155C6">
                                  <w:pPr>
                                    <w:pStyle w:val="Disclaimer"/>
                                    <w:rPr>
                                      <w:rFonts w:cs="Arial"/>
                                    </w:rPr>
                                  </w:pPr>
                                  <w:r>
                                    <w:rPr>
                                      <w:b/>
                                      <w:bCs/>
                                    </w:rPr>
                                    <w:t>Important information</w:t>
                                  </w:r>
                                  <w:r>
                                    <w:b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t>at</w:t>
                                  </w:r>
                                  <w:proofErr w:type="gramEnd"/>
                                  <w: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5C511F" w:rsidRPr="00B918C4" w14:paraId="76692690" w14:textId="77777777" w:rsidTr="00A43D8B">
                              <w:tc>
                                <w:tcPr>
                                  <w:tcW w:w="10751" w:type="dxa"/>
                                  <w:gridSpan w:val="2"/>
                                  <w:tcMar>
                                    <w:top w:w="85" w:type="dxa"/>
                                    <w:bottom w:w="85" w:type="dxa"/>
                                  </w:tcMar>
                                </w:tcPr>
                                <w:p w14:paraId="3C507A1B" w14:textId="77777777" w:rsidR="005C511F" w:rsidRPr="00181F83" w:rsidRDefault="005C511F" w:rsidP="00181F83">
                                  <w:pPr>
                                    <w:pStyle w:val="Disclaimer"/>
                                  </w:pPr>
                                </w:p>
                              </w:tc>
                            </w:tr>
                            <w:tr w:rsidR="005C511F" w:rsidRPr="00B918C4" w14:paraId="0F95535B"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3AF94A77" w14:textId="77777777" w:rsidR="005C511F" w:rsidRPr="00AD60C0" w:rsidRDefault="005C511F" w:rsidP="00AD60C0">
                                      <w:r>
                                        <w:rPr>
                                          <w:noProof/>
                                        </w:rPr>
                                        <w:drawing>
                                          <wp:inline distT="0" distB="0" distL="0" distR="0" wp14:anchorId="3EAED401" wp14:editId="5408046D">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08AA7D4B" w14:textId="05C9E203" w:rsidR="005C511F" w:rsidRPr="00AD60C0" w:rsidRDefault="005C511F" w:rsidP="00DB06A0">
                                  <w:pPr>
                                    <w:jc w:val="right"/>
                                  </w:pPr>
                                </w:p>
                              </w:tc>
                            </w:tr>
                            <w:tr w:rsidR="005C511F" w:rsidRPr="00B918C4" w14:paraId="634DAA3A" w14:textId="77777777" w:rsidTr="00A43D8B">
                              <w:tc>
                                <w:tcPr>
                                  <w:tcW w:w="5375" w:type="dxa"/>
                                  <w:tcMar>
                                    <w:top w:w="85" w:type="dxa"/>
                                    <w:bottom w:w="85" w:type="dxa"/>
                                  </w:tcMar>
                                </w:tcPr>
                                <w:p w14:paraId="6EAB8ADE" w14:textId="77777777" w:rsidR="005C511F" w:rsidRDefault="005C511F" w:rsidP="00AD60C0"/>
                                <w:p w14:paraId="45FB6B6C" w14:textId="77777777" w:rsidR="005C511F" w:rsidRDefault="005C511F" w:rsidP="00AD60C0"/>
                                <w:p w14:paraId="5954E2FA" w14:textId="77777777" w:rsidR="005C511F" w:rsidRDefault="005C511F" w:rsidP="00AD60C0"/>
                              </w:tc>
                              <w:tc>
                                <w:tcPr>
                                  <w:tcW w:w="5376" w:type="dxa"/>
                                </w:tcPr>
                                <w:p w14:paraId="28947B5F" w14:textId="77777777" w:rsidR="005C511F" w:rsidRDefault="005C511F" w:rsidP="00DB06A0">
                                  <w:pPr>
                                    <w:jc w:val="right"/>
                                    <w:rPr>
                                      <w:noProof/>
                                      <w:lang w:bidi="hi-IN"/>
                                    </w:rPr>
                                  </w:pPr>
                                </w:p>
                              </w:tc>
                            </w:tr>
                          </w:tbl>
                          <w:p w14:paraId="35884E2F" w14:textId="77777777" w:rsidR="005C511F" w:rsidRPr="00B416FE" w:rsidRDefault="005C511F" w:rsidP="005C511F">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36DE56" id="Text Box 10" o:spid="_x0000_s1028" type="#_x0000_t202" style="position:absolute;margin-left:544.05pt;margin-top:652.15pt;width:595.25pt;height:254.6pt;z-index:251659264;visibility:visible;mso-wrap-style:square;mso-width-percent:0;mso-height-percent:0;mso-wrap-distance-left:9pt;mso-wrap-distance-top:28.35pt;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" o:allowincell="f" fillcolor="window" stroked="f" strokeweight=".5pt">
                <v:textbox style="mso-fit-shape-to-text:t" inset="10mm,,10mm">
                  <w:txbxContent>
                    <w:tbl>
                      <w:tblPr>
                        <w:tblStyle w:val="TableGrid4"/>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5C511F" w:rsidRPr="00B918C4" w14:paraId="465815FE" w14:textId="77777777" w:rsidTr="00A43D8B">
                        <w:tc>
                          <w:tcPr>
                            <w:tcW w:w="10751" w:type="dxa"/>
                            <w:gridSpan w:val="2"/>
                            <w:tcMar>
                              <w:top w:w="198" w:type="dxa"/>
                              <w:bottom w:w="85" w:type="dxa"/>
                            </w:tcMar>
                          </w:tcPr>
                          <w:p w14:paraId="2FE02E2C" w14:textId="6C072131" w:rsidR="005C511F" w:rsidRPr="001C6A7A" w:rsidRDefault="0086082E" w:rsidP="007155C6">
                            <w:pPr>
                              <w:pStyle w:val="Disclaimer"/>
                              <w:rPr>
                                <w:rFonts w:cs="Arial"/>
                              </w:rPr>
                            </w:pPr>
                            <w:r>
                              <w:rPr>
                                <w:b/>
                                <w:bCs/>
                              </w:rPr>
                              <w:t>Important information</w:t>
                            </w:r>
                            <w:r>
                              <w:b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t>at</w:t>
                            </w:r>
                            <w:proofErr w:type="gramEnd"/>
                            <w: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5C511F" w:rsidRPr="00B918C4" w14:paraId="76692690" w14:textId="77777777" w:rsidTr="00A43D8B">
                        <w:tc>
                          <w:tcPr>
                            <w:tcW w:w="10751" w:type="dxa"/>
                            <w:gridSpan w:val="2"/>
                            <w:tcMar>
                              <w:top w:w="85" w:type="dxa"/>
                              <w:bottom w:w="85" w:type="dxa"/>
                            </w:tcMar>
                          </w:tcPr>
                          <w:p w14:paraId="3C507A1B" w14:textId="77777777" w:rsidR="005C511F" w:rsidRPr="00181F83" w:rsidRDefault="005C511F" w:rsidP="00181F83">
                            <w:pPr>
                              <w:pStyle w:val="Disclaimer"/>
                            </w:pPr>
                          </w:p>
                        </w:tc>
                      </w:tr>
                      <w:tr w:rsidR="005C511F" w:rsidRPr="00B918C4" w14:paraId="0F95535B"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3AF94A77" w14:textId="77777777" w:rsidR="005C511F" w:rsidRPr="00AD60C0" w:rsidRDefault="005C511F" w:rsidP="00AD60C0">
                                <w:r>
                                  <w:rPr>
                                    <w:noProof/>
                                  </w:rPr>
                                  <w:drawing>
                                    <wp:inline distT="0" distB="0" distL="0" distR="0" wp14:anchorId="3EAED401" wp14:editId="5408046D">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08AA7D4B" w14:textId="05C9E203" w:rsidR="005C511F" w:rsidRPr="00AD60C0" w:rsidRDefault="005C511F" w:rsidP="00DB06A0">
                            <w:pPr>
                              <w:jc w:val="right"/>
                            </w:pPr>
                          </w:p>
                        </w:tc>
                      </w:tr>
                      <w:tr w:rsidR="005C511F" w:rsidRPr="00B918C4" w14:paraId="634DAA3A" w14:textId="77777777" w:rsidTr="00A43D8B">
                        <w:tc>
                          <w:tcPr>
                            <w:tcW w:w="5375" w:type="dxa"/>
                            <w:tcMar>
                              <w:top w:w="85" w:type="dxa"/>
                              <w:bottom w:w="85" w:type="dxa"/>
                            </w:tcMar>
                          </w:tcPr>
                          <w:p w14:paraId="6EAB8ADE" w14:textId="77777777" w:rsidR="005C511F" w:rsidRDefault="005C511F" w:rsidP="00AD60C0"/>
                          <w:p w14:paraId="45FB6B6C" w14:textId="77777777" w:rsidR="005C511F" w:rsidRDefault="005C511F" w:rsidP="00AD60C0"/>
                          <w:p w14:paraId="5954E2FA" w14:textId="77777777" w:rsidR="005C511F" w:rsidRDefault="005C511F" w:rsidP="00AD60C0"/>
                        </w:tc>
                        <w:tc>
                          <w:tcPr>
                            <w:tcW w:w="5376" w:type="dxa"/>
                          </w:tcPr>
                          <w:p w14:paraId="28947B5F" w14:textId="77777777" w:rsidR="005C511F" w:rsidRDefault="005C511F" w:rsidP="00DB06A0">
                            <w:pPr>
                              <w:jc w:val="right"/>
                              <w:rPr>
                                <w:noProof/>
                                <w:lang w:bidi="hi-IN"/>
                              </w:rPr>
                            </w:pPr>
                          </w:p>
                        </w:tc>
                      </w:tr>
                    </w:tbl>
                    <w:p w14:paraId="35884E2F" w14:textId="77777777" w:rsidR="005C511F" w:rsidRPr="00B416FE" w:rsidRDefault="005C511F" w:rsidP="005C511F">
                      <w:pPr>
                        <w:pStyle w:val="Disclaimer"/>
                      </w:pPr>
                    </w:p>
                  </w:txbxContent>
                </v:textbox>
                <w10:wrap anchorx="page" anchory="page"/>
              </v:shape>
            </w:pict>
          </mc:Fallback>
        </mc:AlternateContent>
      </w:r>
    </w:p>
    <w:sectPr w:rsidR="00FB2A81" w:rsidRPr="0086264A" w:rsidSect="004266E2">
      <w:footerReference w:type="default" r:id="rId16"/>
      <w:headerReference w:type="first" r:id="rId17"/>
      <w:footerReference w:type="first" r:id="rId18"/>
      <w:type w:val="continuous"/>
      <w:pgSz w:w="11907" w:h="16840" w:code="9"/>
      <w:pgMar w:top="680" w:right="680" w:bottom="340" w:left="680" w:header="454" w:footer="3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6928" w14:textId="77777777" w:rsidR="001A283B" w:rsidRDefault="001A283B" w:rsidP="00140398">
      <w:r>
        <w:separator/>
      </w:r>
    </w:p>
  </w:endnote>
  <w:endnote w:type="continuationSeparator" w:id="0">
    <w:p w14:paraId="3ECF1970" w14:textId="77777777" w:rsidR="001A283B" w:rsidRDefault="001A283B" w:rsidP="001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CF5" w14:textId="77777777" w:rsidR="001203E5" w:rsidRPr="007C76D3" w:rsidRDefault="001203E5" w:rsidP="007C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9D9F" w14:textId="77777777" w:rsidR="001203E5" w:rsidRPr="00183019" w:rsidRDefault="001203E5" w:rsidP="00183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2B2" w14:textId="77777777" w:rsidR="007D6B21" w:rsidRPr="007C76D3" w:rsidRDefault="007D6B21" w:rsidP="007C7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E632" w14:textId="77777777" w:rsidR="00422BD8" w:rsidRPr="00183019" w:rsidRDefault="00422BD8"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2AC8" w14:textId="77777777" w:rsidR="001A283B" w:rsidRDefault="001A283B" w:rsidP="002444B6">
      <w:pPr>
        <w:spacing w:before="0" w:after="0"/>
      </w:pPr>
      <w:r>
        <w:separator/>
      </w:r>
    </w:p>
  </w:footnote>
  <w:footnote w:type="continuationSeparator" w:id="0">
    <w:p w14:paraId="3E043CD9" w14:textId="77777777" w:rsidR="001A283B" w:rsidRDefault="001A283B" w:rsidP="0014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A81" w14:textId="317BC3FB" w:rsidR="00453827" w:rsidRDefault="004C460F">
    <w:pPr>
      <w:pStyle w:val="Header"/>
    </w:pPr>
    <w:r>
      <w:rPr>
        <w:noProof/>
      </w:rPr>
      <w:drawing>
        <wp:anchor distT="0" distB="0" distL="114300" distR="114300" simplePos="0" relativeHeight="251658240" behindDoc="0" locked="0" layoutInCell="1" allowOverlap="1" wp14:anchorId="2D6CE818" wp14:editId="7F60AFCE">
          <wp:simplePos x="0" y="0"/>
          <wp:positionH relativeFrom="column">
            <wp:posOffset>-412751</wp:posOffset>
          </wp:positionH>
          <wp:positionV relativeFrom="paragraph">
            <wp:posOffset>-288290</wp:posOffset>
          </wp:positionV>
          <wp:extent cx="7520385" cy="1647825"/>
          <wp:effectExtent l="0" t="0" r="4445" b="0"/>
          <wp:wrapNone/>
          <wp:docPr id="2092108237"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108237"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74" cy="16515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2533" w14:textId="77777777" w:rsidR="001203E5" w:rsidRPr="00587074" w:rsidRDefault="001203E5" w:rsidP="0058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5DAB" w14:textId="77777777" w:rsidR="004C460F" w:rsidRPr="00587074" w:rsidRDefault="004C460F"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CC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C8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C84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85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2C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A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AD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25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EC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4088"/>
    <w:multiLevelType w:val="hybridMultilevel"/>
    <w:tmpl w:val="D62283B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523DE8"/>
    <w:multiLevelType w:val="hybridMultilevel"/>
    <w:tmpl w:val="4B06AE7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A63B73"/>
    <w:multiLevelType w:val="hybridMultilevel"/>
    <w:tmpl w:val="F418EC7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AC5D21"/>
    <w:multiLevelType w:val="hybridMultilevel"/>
    <w:tmpl w:val="F63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F7651"/>
    <w:multiLevelType w:val="hybridMultilevel"/>
    <w:tmpl w:val="4A06535E"/>
    <w:lvl w:ilvl="0" w:tplc="18ACBC82">
      <w:start w:val="1"/>
      <w:numFmt w:val="bullet"/>
      <w:lvlText w:val="▪"/>
      <w:lvlJc w:val="left"/>
      <w:pPr>
        <w:tabs>
          <w:tab w:val="num" w:pos="643"/>
        </w:tabs>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03668"/>
    <w:multiLevelType w:val="hybridMultilevel"/>
    <w:tmpl w:val="07408C6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1349E"/>
    <w:multiLevelType w:val="hybridMultilevel"/>
    <w:tmpl w:val="A1EE9138"/>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90160"/>
    <w:multiLevelType w:val="hybridMultilevel"/>
    <w:tmpl w:val="C10EC3B0"/>
    <w:lvl w:ilvl="0" w:tplc="EE5AA0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F71D2C"/>
    <w:multiLevelType w:val="hybridMultilevel"/>
    <w:tmpl w:val="8CC0447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FE46AE"/>
    <w:multiLevelType w:val="hybridMultilevel"/>
    <w:tmpl w:val="A376854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04FF2"/>
    <w:multiLevelType w:val="hybridMultilevel"/>
    <w:tmpl w:val="80FCCAF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0F4968"/>
    <w:multiLevelType w:val="hybridMultilevel"/>
    <w:tmpl w:val="B23E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872E4F"/>
    <w:multiLevelType w:val="hybridMultilevel"/>
    <w:tmpl w:val="7BD62E1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04D48"/>
    <w:multiLevelType w:val="hybridMultilevel"/>
    <w:tmpl w:val="00D6744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F360D"/>
    <w:multiLevelType w:val="hybridMultilevel"/>
    <w:tmpl w:val="A3EE86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26" w15:restartNumberingAfterBreak="0">
    <w:nsid w:val="387E78A6"/>
    <w:multiLevelType w:val="hybridMultilevel"/>
    <w:tmpl w:val="7D0CBD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B7DBE"/>
    <w:multiLevelType w:val="hybridMultilevel"/>
    <w:tmpl w:val="82487E0A"/>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54D6D"/>
    <w:multiLevelType w:val="hybridMultilevel"/>
    <w:tmpl w:val="4768CDB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862348"/>
    <w:multiLevelType w:val="hybridMultilevel"/>
    <w:tmpl w:val="FE1AB86C"/>
    <w:lvl w:ilvl="0" w:tplc="8A1AA2AE">
      <w:start w:val="1"/>
      <w:numFmt w:val="bullet"/>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8B04B9"/>
    <w:multiLevelType w:val="hybridMultilevel"/>
    <w:tmpl w:val="B31815E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04693"/>
    <w:multiLevelType w:val="hybridMultilevel"/>
    <w:tmpl w:val="78C822DA"/>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13978"/>
    <w:multiLevelType w:val="hybridMultilevel"/>
    <w:tmpl w:val="344CB26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920481"/>
    <w:multiLevelType w:val="hybridMultilevel"/>
    <w:tmpl w:val="DBE0AB4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76021A"/>
    <w:multiLevelType w:val="hybridMultilevel"/>
    <w:tmpl w:val="B14C5EF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031597"/>
    <w:multiLevelType w:val="hybridMultilevel"/>
    <w:tmpl w:val="7E0E3ED8"/>
    <w:lvl w:ilvl="0" w:tplc="74A20696">
      <w:start w:val="1"/>
      <w:numFmt w:val="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66896"/>
    <w:multiLevelType w:val="hybridMultilevel"/>
    <w:tmpl w:val="391C54D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7C0C53"/>
    <w:multiLevelType w:val="hybridMultilevel"/>
    <w:tmpl w:val="19B203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832DF"/>
    <w:multiLevelType w:val="hybridMultilevel"/>
    <w:tmpl w:val="9D7E8906"/>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9D0953"/>
    <w:multiLevelType w:val="hybridMultilevel"/>
    <w:tmpl w:val="CC08FE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57BA3"/>
    <w:multiLevelType w:val="hybridMultilevel"/>
    <w:tmpl w:val="E8942614"/>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61C95"/>
    <w:multiLevelType w:val="hybridMultilevel"/>
    <w:tmpl w:val="5AEA3CB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856"/>
    <w:multiLevelType w:val="hybridMultilevel"/>
    <w:tmpl w:val="EACE6E4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AB4AFB"/>
    <w:multiLevelType w:val="hybridMultilevel"/>
    <w:tmpl w:val="CF86E17A"/>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44796591">
    <w:abstractNumId w:val="17"/>
  </w:num>
  <w:num w:numId="2" w16cid:durableId="44918837">
    <w:abstractNumId w:val="29"/>
  </w:num>
  <w:num w:numId="3" w16cid:durableId="1675764026">
    <w:abstractNumId w:val="25"/>
  </w:num>
  <w:num w:numId="4" w16cid:durableId="357006499">
    <w:abstractNumId w:val="36"/>
  </w:num>
  <w:num w:numId="5" w16cid:durableId="2134245760">
    <w:abstractNumId w:val="33"/>
  </w:num>
  <w:num w:numId="6" w16cid:durableId="149373611">
    <w:abstractNumId w:val="28"/>
  </w:num>
  <w:num w:numId="7" w16cid:durableId="1637948185">
    <w:abstractNumId w:val="26"/>
  </w:num>
  <w:num w:numId="8" w16cid:durableId="1157458447">
    <w:abstractNumId w:val="16"/>
  </w:num>
  <w:num w:numId="9" w16cid:durableId="383138222">
    <w:abstractNumId w:val="24"/>
  </w:num>
  <w:num w:numId="10" w16cid:durableId="1401830522">
    <w:abstractNumId w:val="22"/>
  </w:num>
  <w:num w:numId="11" w16cid:durableId="1648053776">
    <w:abstractNumId w:val="12"/>
  </w:num>
  <w:num w:numId="12" w16cid:durableId="1573419969">
    <w:abstractNumId w:val="44"/>
  </w:num>
  <w:num w:numId="13" w16cid:durableId="1926837893">
    <w:abstractNumId w:val="41"/>
  </w:num>
  <w:num w:numId="14" w16cid:durableId="1097215742">
    <w:abstractNumId w:val="32"/>
  </w:num>
  <w:num w:numId="15" w16cid:durableId="867447210">
    <w:abstractNumId w:val="31"/>
  </w:num>
  <w:num w:numId="16" w16cid:durableId="179128537">
    <w:abstractNumId w:val="10"/>
  </w:num>
  <w:num w:numId="17" w16cid:durableId="1147670921">
    <w:abstractNumId w:val="39"/>
  </w:num>
  <w:num w:numId="18" w16cid:durableId="669673998">
    <w:abstractNumId w:val="35"/>
  </w:num>
  <w:num w:numId="19" w16cid:durableId="2029401356">
    <w:abstractNumId w:val="9"/>
  </w:num>
  <w:num w:numId="20" w16cid:durableId="1123038336">
    <w:abstractNumId w:val="7"/>
  </w:num>
  <w:num w:numId="21" w16cid:durableId="367879590">
    <w:abstractNumId w:val="6"/>
  </w:num>
  <w:num w:numId="22" w16cid:durableId="734930825">
    <w:abstractNumId w:val="5"/>
  </w:num>
  <w:num w:numId="23" w16cid:durableId="1420298056">
    <w:abstractNumId w:val="4"/>
  </w:num>
  <w:num w:numId="24" w16cid:durableId="563835887">
    <w:abstractNumId w:val="8"/>
  </w:num>
  <w:num w:numId="25" w16cid:durableId="1565484535">
    <w:abstractNumId w:val="3"/>
  </w:num>
  <w:num w:numId="26" w16cid:durableId="77482190">
    <w:abstractNumId w:val="2"/>
  </w:num>
  <w:num w:numId="27" w16cid:durableId="1721709712">
    <w:abstractNumId w:val="1"/>
  </w:num>
  <w:num w:numId="28" w16cid:durableId="572735349">
    <w:abstractNumId w:val="0"/>
  </w:num>
  <w:num w:numId="29" w16cid:durableId="2040279767">
    <w:abstractNumId w:val="23"/>
  </w:num>
  <w:num w:numId="30" w16cid:durableId="1957249620">
    <w:abstractNumId w:val="43"/>
  </w:num>
  <w:num w:numId="31" w16cid:durableId="90130370">
    <w:abstractNumId w:val="11"/>
  </w:num>
  <w:num w:numId="32" w16cid:durableId="1829441722">
    <w:abstractNumId w:val="18"/>
  </w:num>
  <w:num w:numId="33" w16cid:durableId="1677882076">
    <w:abstractNumId w:val="20"/>
  </w:num>
  <w:num w:numId="34" w16cid:durableId="668484170">
    <w:abstractNumId w:val="38"/>
  </w:num>
  <w:num w:numId="35" w16cid:durableId="305667496">
    <w:abstractNumId w:val="42"/>
  </w:num>
  <w:num w:numId="36" w16cid:durableId="197088582">
    <w:abstractNumId w:val="40"/>
  </w:num>
  <w:num w:numId="37" w16cid:durableId="1157576223">
    <w:abstractNumId w:val="15"/>
  </w:num>
  <w:num w:numId="38" w16cid:durableId="61029463">
    <w:abstractNumId w:val="37"/>
  </w:num>
  <w:num w:numId="39" w16cid:durableId="571083904">
    <w:abstractNumId w:val="19"/>
  </w:num>
  <w:num w:numId="40" w16cid:durableId="954142937">
    <w:abstractNumId w:val="27"/>
  </w:num>
  <w:num w:numId="41" w16cid:durableId="1433546234">
    <w:abstractNumId w:val="30"/>
  </w:num>
  <w:num w:numId="42" w16cid:durableId="1205019134">
    <w:abstractNumId w:val="13"/>
  </w:num>
  <w:num w:numId="43" w16cid:durableId="318078403">
    <w:abstractNumId w:val="21"/>
  </w:num>
  <w:num w:numId="44" w16cid:durableId="905841359">
    <w:abstractNumId w:val="34"/>
  </w:num>
  <w:num w:numId="45" w16cid:durableId="690765492">
    <w:abstractNumId w:val="14"/>
  </w:num>
  <w:num w:numId="46" w16cid:durableId="4213401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1C"/>
    <w:rsid w:val="0000476C"/>
    <w:rsid w:val="00010AAF"/>
    <w:rsid w:val="00020FFA"/>
    <w:rsid w:val="00021BF2"/>
    <w:rsid w:val="00023E8E"/>
    <w:rsid w:val="00025158"/>
    <w:rsid w:val="00033266"/>
    <w:rsid w:val="00034579"/>
    <w:rsid w:val="00034D53"/>
    <w:rsid w:val="000546C3"/>
    <w:rsid w:val="00055DAA"/>
    <w:rsid w:val="00063656"/>
    <w:rsid w:val="000704A0"/>
    <w:rsid w:val="00080473"/>
    <w:rsid w:val="000806B8"/>
    <w:rsid w:val="0008116B"/>
    <w:rsid w:val="00087863"/>
    <w:rsid w:val="00090757"/>
    <w:rsid w:val="0009189B"/>
    <w:rsid w:val="0009209A"/>
    <w:rsid w:val="000A0877"/>
    <w:rsid w:val="000A7BC2"/>
    <w:rsid w:val="000B056A"/>
    <w:rsid w:val="000B17B2"/>
    <w:rsid w:val="000B1ED7"/>
    <w:rsid w:val="000B719B"/>
    <w:rsid w:val="000C0D1B"/>
    <w:rsid w:val="000C3D34"/>
    <w:rsid w:val="000D0FA1"/>
    <w:rsid w:val="000E5328"/>
    <w:rsid w:val="000F3918"/>
    <w:rsid w:val="000F7977"/>
    <w:rsid w:val="00111A30"/>
    <w:rsid w:val="00112AE2"/>
    <w:rsid w:val="00114701"/>
    <w:rsid w:val="001203E5"/>
    <w:rsid w:val="0012279D"/>
    <w:rsid w:val="00124D1B"/>
    <w:rsid w:val="00125976"/>
    <w:rsid w:val="00126427"/>
    <w:rsid w:val="00126756"/>
    <w:rsid w:val="00130C52"/>
    <w:rsid w:val="00135865"/>
    <w:rsid w:val="00137685"/>
    <w:rsid w:val="00137A29"/>
    <w:rsid w:val="00140B29"/>
    <w:rsid w:val="00144627"/>
    <w:rsid w:val="00144E16"/>
    <w:rsid w:val="001536AE"/>
    <w:rsid w:val="001547D3"/>
    <w:rsid w:val="001553D0"/>
    <w:rsid w:val="001600B2"/>
    <w:rsid w:val="00170E36"/>
    <w:rsid w:val="0017105D"/>
    <w:rsid w:val="00175845"/>
    <w:rsid w:val="00182856"/>
    <w:rsid w:val="00183019"/>
    <w:rsid w:val="001840AC"/>
    <w:rsid w:val="00186BBE"/>
    <w:rsid w:val="00190791"/>
    <w:rsid w:val="001A1110"/>
    <w:rsid w:val="001A2563"/>
    <w:rsid w:val="001A283B"/>
    <w:rsid w:val="001A3F7D"/>
    <w:rsid w:val="001A457D"/>
    <w:rsid w:val="001A7A97"/>
    <w:rsid w:val="001B53F1"/>
    <w:rsid w:val="001B6CB5"/>
    <w:rsid w:val="001C1B66"/>
    <w:rsid w:val="001C2001"/>
    <w:rsid w:val="001C4C78"/>
    <w:rsid w:val="001D1397"/>
    <w:rsid w:val="001D1A39"/>
    <w:rsid w:val="001D5EFD"/>
    <w:rsid w:val="001E2825"/>
    <w:rsid w:val="001E3E6E"/>
    <w:rsid w:val="001E4CAE"/>
    <w:rsid w:val="001F11F8"/>
    <w:rsid w:val="001F26BF"/>
    <w:rsid w:val="001F26EA"/>
    <w:rsid w:val="001F4560"/>
    <w:rsid w:val="001F47F8"/>
    <w:rsid w:val="0020079B"/>
    <w:rsid w:val="002028E9"/>
    <w:rsid w:val="00205F69"/>
    <w:rsid w:val="002073C8"/>
    <w:rsid w:val="00211478"/>
    <w:rsid w:val="00211B44"/>
    <w:rsid w:val="002168A2"/>
    <w:rsid w:val="00220400"/>
    <w:rsid w:val="0022761F"/>
    <w:rsid w:val="0023155E"/>
    <w:rsid w:val="00234587"/>
    <w:rsid w:val="00236665"/>
    <w:rsid w:val="00237B26"/>
    <w:rsid w:val="002444B6"/>
    <w:rsid w:val="00250463"/>
    <w:rsid w:val="002614F9"/>
    <w:rsid w:val="00264C91"/>
    <w:rsid w:val="00265E88"/>
    <w:rsid w:val="00267237"/>
    <w:rsid w:val="00270CE9"/>
    <w:rsid w:val="0027101D"/>
    <w:rsid w:val="00271883"/>
    <w:rsid w:val="0027505A"/>
    <w:rsid w:val="0027625C"/>
    <w:rsid w:val="00276777"/>
    <w:rsid w:val="002812B6"/>
    <w:rsid w:val="00284C92"/>
    <w:rsid w:val="002857C5"/>
    <w:rsid w:val="00292EF3"/>
    <w:rsid w:val="002932A8"/>
    <w:rsid w:val="002A091C"/>
    <w:rsid w:val="002B5D86"/>
    <w:rsid w:val="002C066F"/>
    <w:rsid w:val="002C515B"/>
    <w:rsid w:val="002D5CFC"/>
    <w:rsid w:val="002E420C"/>
    <w:rsid w:val="002E787D"/>
    <w:rsid w:val="0030009A"/>
    <w:rsid w:val="00302FE9"/>
    <w:rsid w:val="00303D47"/>
    <w:rsid w:val="00304F36"/>
    <w:rsid w:val="00305B3A"/>
    <w:rsid w:val="00307AA6"/>
    <w:rsid w:val="003114F9"/>
    <w:rsid w:val="00312F9F"/>
    <w:rsid w:val="003130AE"/>
    <w:rsid w:val="00314FA1"/>
    <w:rsid w:val="003162E4"/>
    <w:rsid w:val="0032212A"/>
    <w:rsid w:val="00326422"/>
    <w:rsid w:val="00333E85"/>
    <w:rsid w:val="00347B15"/>
    <w:rsid w:val="00361A97"/>
    <w:rsid w:val="00364C60"/>
    <w:rsid w:val="00364D77"/>
    <w:rsid w:val="0036552C"/>
    <w:rsid w:val="00366B9A"/>
    <w:rsid w:val="00382103"/>
    <w:rsid w:val="00386A3C"/>
    <w:rsid w:val="003A0305"/>
    <w:rsid w:val="003A4B64"/>
    <w:rsid w:val="003A5C39"/>
    <w:rsid w:val="003A6D39"/>
    <w:rsid w:val="003B0F58"/>
    <w:rsid w:val="003B4540"/>
    <w:rsid w:val="003C46F1"/>
    <w:rsid w:val="003C7953"/>
    <w:rsid w:val="003D4918"/>
    <w:rsid w:val="003E273A"/>
    <w:rsid w:val="003E37D7"/>
    <w:rsid w:val="003E3894"/>
    <w:rsid w:val="003E7E34"/>
    <w:rsid w:val="003F27E8"/>
    <w:rsid w:val="003F37ED"/>
    <w:rsid w:val="003F6CFC"/>
    <w:rsid w:val="003F6DAB"/>
    <w:rsid w:val="00400A59"/>
    <w:rsid w:val="00403353"/>
    <w:rsid w:val="00406885"/>
    <w:rsid w:val="0041165E"/>
    <w:rsid w:val="00414F87"/>
    <w:rsid w:val="00420F32"/>
    <w:rsid w:val="00422BD8"/>
    <w:rsid w:val="00423ABE"/>
    <w:rsid w:val="0042572A"/>
    <w:rsid w:val="004266E2"/>
    <w:rsid w:val="00426D18"/>
    <w:rsid w:val="0043323C"/>
    <w:rsid w:val="004411E7"/>
    <w:rsid w:val="0044377A"/>
    <w:rsid w:val="00446B18"/>
    <w:rsid w:val="00451AF4"/>
    <w:rsid w:val="00453827"/>
    <w:rsid w:val="004549CA"/>
    <w:rsid w:val="00462F67"/>
    <w:rsid w:val="004711E0"/>
    <w:rsid w:val="00473E33"/>
    <w:rsid w:val="004828DA"/>
    <w:rsid w:val="00482A89"/>
    <w:rsid w:val="004864E7"/>
    <w:rsid w:val="004867BE"/>
    <w:rsid w:val="00486E45"/>
    <w:rsid w:val="004922BA"/>
    <w:rsid w:val="004A05B6"/>
    <w:rsid w:val="004A0D5B"/>
    <w:rsid w:val="004A1819"/>
    <w:rsid w:val="004A3253"/>
    <w:rsid w:val="004A59D6"/>
    <w:rsid w:val="004B1E25"/>
    <w:rsid w:val="004B4A9B"/>
    <w:rsid w:val="004C2F98"/>
    <w:rsid w:val="004C460F"/>
    <w:rsid w:val="004C7051"/>
    <w:rsid w:val="004D0110"/>
    <w:rsid w:val="004D32CC"/>
    <w:rsid w:val="004D36F4"/>
    <w:rsid w:val="004E00A8"/>
    <w:rsid w:val="004E27E5"/>
    <w:rsid w:val="004F05BC"/>
    <w:rsid w:val="004F10FE"/>
    <w:rsid w:val="004F7048"/>
    <w:rsid w:val="00500BC5"/>
    <w:rsid w:val="0051072B"/>
    <w:rsid w:val="005165D8"/>
    <w:rsid w:val="005230C5"/>
    <w:rsid w:val="00531C92"/>
    <w:rsid w:val="00533984"/>
    <w:rsid w:val="00536ED9"/>
    <w:rsid w:val="005433D5"/>
    <w:rsid w:val="00543FF3"/>
    <w:rsid w:val="0055547C"/>
    <w:rsid w:val="0055755C"/>
    <w:rsid w:val="00560F74"/>
    <w:rsid w:val="00564126"/>
    <w:rsid w:val="00584990"/>
    <w:rsid w:val="00587074"/>
    <w:rsid w:val="005964A7"/>
    <w:rsid w:val="005A5415"/>
    <w:rsid w:val="005B5A14"/>
    <w:rsid w:val="005C511F"/>
    <w:rsid w:val="005D5F8C"/>
    <w:rsid w:val="005E552C"/>
    <w:rsid w:val="005E75DD"/>
    <w:rsid w:val="005F0345"/>
    <w:rsid w:val="005F3BDC"/>
    <w:rsid w:val="00603C00"/>
    <w:rsid w:val="006107F1"/>
    <w:rsid w:val="00615036"/>
    <w:rsid w:val="006156AF"/>
    <w:rsid w:val="006246E1"/>
    <w:rsid w:val="00632270"/>
    <w:rsid w:val="00632278"/>
    <w:rsid w:val="006335C3"/>
    <w:rsid w:val="00636DD3"/>
    <w:rsid w:val="006374D8"/>
    <w:rsid w:val="00640521"/>
    <w:rsid w:val="006478A5"/>
    <w:rsid w:val="006548F5"/>
    <w:rsid w:val="00660A05"/>
    <w:rsid w:val="00660BAC"/>
    <w:rsid w:val="00661533"/>
    <w:rsid w:val="00665069"/>
    <w:rsid w:val="006706B8"/>
    <w:rsid w:val="00671D5E"/>
    <w:rsid w:val="00672227"/>
    <w:rsid w:val="0067588C"/>
    <w:rsid w:val="00677E64"/>
    <w:rsid w:val="00682ACD"/>
    <w:rsid w:val="00686F89"/>
    <w:rsid w:val="00687ACC"/>
    <w:rsid w:val="00691C58"/>
    <w:rsid w:val="0069545C"/>
    <w:rsid w:val="00696A3A"/>
    <w:rsid w:val="006975B8"/>
    <w:rsid w:val="006A2169"/>
    <w:rsid w:val="006A4A07"/>
    <w:rsid w:val="006B03A9"/>
    <w:rsid w:val="006B38B2"/>
    <w:rsid w:val="006C0929"/>
    <w:rsid w:val="006C1F3F"/>
    <w:rsid w:val="006C4266"/>
    <w:rsid w:val="006C6496"/>
    <w:rsid w:val="006D271A"/>
    <w:rsid w:val="006D3598"/>
    <w:rsid w:val="006D6542"/>
    <w:rsid w:val="006E068B"/>
    <w:rsid w:val="006E36E5"/>
    <w:rsid w:val="006E60F2"/>
    <w:rsid w:val="006E6F1C"/>
    <w:rsid w:val="006F2084"/>
    <w:rsid w:val="006F5E3E"/>
    <w:rsid w:val="006F7A6F"/>
    <w:rsid w:val="006F7F12"/>
    <w:rsid w:val="00702643"/>
    <w:rsid w:val="007036BC"/>
    <w:rsid w:val="00706504"/>
    <w:rsid w:val="007070EB"/>
    <w:rsid w:val="007113F6"/>
    <w:rsid w:val="00714278"/>
    <w:rsid w:val="00714E34"/>
    <w:rsid w:val="00716595"/>
    <w:rsid w:val="00721681"/>
    <w:rsid w:val="0072195D"/>
    <w:rsid w:val="00722A9F"/>
    <w:rsid w:val="00735C95"/>
    <w:rsid w:val="007360EA"/>
    <w:rsid w:val="0073732B"/>
    <w:rsid w:val="00737687"/>
    <w:rsid w:val="00745A43"/>
    <w:rsid w:val="00745E41"/>
    <w:rsid w:val="00746DFF"/>
    <w:rsid w:val="0075037B"/>
    <w:rsid w:val="007550CD"/>
    <w:rsid w:val="00761AB7"/>
    <w:rsid w:val="00762A2F"/>
    <w:rsid w:val="0076313B"/>
    <w:rsid w:val="00765810"/>
    <w:rsid w:val="007759DC"/>
    <w:rsid w:val="00775A58"/>
    <w:rsid w:val="0078383A"/>
    <w:rsid w:val="00783D34"/>
    <w:rsid w:val="00790E71"/>
    <w:rsid w:val="0079214A"/>
    <w:rsid w:val="00792FDC"/>
    <w:rsid w:val="00793785"/>
    <w:rsid w:val="00793A00"/>
    <w:rsid w:val="007A1644"/>
    <w:rsid w:val="007A32D4"/>
    <w:rsid w:val="007A3A07"/>
    <w:rsid w:val="007B4DEF"/>
    <w:rsid w:val="007C090F"/>
    <w:rsid w:val="007C4C41"/>
    <w:rsid w:val="007C76D3"/>
    <w:rsid w:val="007D0D3E"/>
    <w:rsid w:val="007D615D"/>
    <w:rsid w:val="007D64FE"/>
    <w:rsid w:val="007D6B21"/>
    <w:rsid w:val="007E7360"/>
    <w:rsid w:val="007F7C35"/>
    <w:rsid w:val="0082438A"/>
    <w:rsid w:val="008269BB"/>
    <w:rsid w:val="0083062B"/>
    <w:rsid w:val="0083154E"/>
    <w:rsid w:val="00832DC5"/>
    <w:rsid w:val="00844E24"/>
    <w:rsid w:val="00846321"/>
    <w:rsid w:val="008528DD"/>
    <w:rsid w:val="00854E1D"/>
    <w:rsid w:val="00856ECF"/>
    <w:rsid w:val="00857AC3"/>
    <w:rsid w:val="0086082E"/>
    <w:rsid w:val="0086264A"/>
    <w:rsid w:val="00862B44"/>
    <w:rsid w:val="00863866"/>
    <w:rsid w:val="008647BD"/>
    <w:rsid w:val="00864A56"/>
    <w:rsid w:val="0086544F"/>
    <w:rsid w:val="00867DBB"/>
    <w:rsid w:val="008711BE"/>
    <w:rsid w:val="008768CF"/>
    <w:rsid w:val="008860F6"/>
    <w:rsid w:val="008864C3"/>
    <w:rsid w:val="00893F6E"/>
    <w:rsid w:val="00897341"/>
    <w:rsid w:val="008A0507"/>
    <w:rsid w:val="008A1519"/>
    <w:rsid w:val="008A4420"/>
    <w:rsid w:val="008A4BD9"/>
    <w:rsid w:val="008A5CFE"/>
    <w:rsid w:val="008A5D59"/>
    <w:rsid w:val="008B4961"/>
    <w:rsid w:val="008C0B43"/>
    <w:rsid w:val="008C13D1"/>
    <w:rsid w:val="008C1F3F"/>
    <w:rsid w:val="008C27AE"/>
    <w:rsid w:val="008C3741"/>
    <w:rsid w:val="008C556E"/>
    <w:rsid w:val="008C6092"/>
    <w:rsid w:val="008C7BB8"/>
    <w:rsid w:val="00901335"/>
    <w:rsid w:val="00903833"/>
    <w:rsid w:val="00905590"/>
    <w:rsid w:val="00905635"/>
    <w:rsid w:val="0090612A"/>
    <w:rsid w:val="00907976"/>
    <w:rsid w:val="00911A5E"/>
    <w:rsid w:val="00920117"/>
    <w:rsid w:val="00922A4D"/>
    <w:rsid w:val="009370F3"/>
    <w:rsid w:val="00940E1E"/>
    <w:rsid w:val="009436FA"/>
    <w:rsid w:val="0094661C"/>
    <w:rsid w:val="00950432"/>
    <w:rsid w:val="009633E2"/>
    <w:rsid w:val="00965041"/>
    <w:rsid w:val="00971663"/>
    <w:rsid w:val="009752D5"/>
    <w:rsid w:val="00976592"/>
    <w:rsid w:val="00980772"/>
    <w:rsid w:val="00983818"/>
    <w:rsid w:val="0098455F"/>
    <w:rsid w:val="009856C1"/>
    <w:rsid w:val="0098669A"/>
    <w:rsid w:val="009A2625"/>
    <w:rsid w:val="009B2DA2"/>
    <w:rsid w:val="009B4136"/>
    <w:rsid w:val="009C03DD"/>
    <w:rsid w:val="009C0645"/>
    <w:rsid w:val="009C3444"/>
    <w:rsid w:val="009C701B"/>
    <w:rsid w:val="009D3830"/>
    <w:rsid w:val="009E09BF"/>
    <w:rsid w:val="009E1A7C"/>
    <w:rsid w:val="009E2BFF"/>
    <w:rsid w:val="009E45D3"/>
    <w:rsid w:val="009F4BA7"/>
    <w:rsid w:val="00A02F68"/>
    <w:rsid w:val="00A03EF8"/>
    <w:rsid w:val="00A0516C"/>
    <w:rsid w:val="00A07CE2"/>
    <w:rsid w:val="00A1198D"/>
    <w:rsid w:val="00A160D6"/>
    <w:rsid w:val="00A22291"/>
    <w:rsid w:val="00A22D65"/>
    <w:rsid w:val="00A23526"/>
    <w:rsid w:val="00A311BF"/>
    <w:rsid w:val="00A334B8"/>
    <w:rsid w:val="00A339B5"/>
    <w:rsid w:val="00A41A03"/>
    <w:rsid w:val="00A47E18"/>
    <w:rsid w:val="00A53E74"/>
    <w:rsid w:val="00A53F7D"/>
    <w:rsid w:val="00A55819"/>
    <w:rsid w:val="00A56375"/>
    <w:rsid w:val="00A5647D"/>
    <w:rsid w:val="00A56D43"/>
    <w:rsid w:val="00A56FF9"/>
    <w:rsid w:val="00A61ED4"/>
    <w:rsid w:val="00A6697C"/>
    <w:rsid w:val="00A71877"/>
    <w:rsid w:val="00A73F97"/>
    <w:rsid w:val="00A75923"/>
    <w:rsid w:val="00A774B9"/>
    <w:rsid w:val="00A82FBB"/>
    <w:rsid w:val="00A847AF"/>
    <w:rsid w:val="00A93F64"/>
    <w:rsid w:val="00A95127"/>
    <w:rsid w:val="00AA04B8"/>
    <w:rsid w:val="00AA50C3"/>
    <w:rsid w:val="00AB0F0F"/>
    <w:rsid w:val="00AB21F6"/>
    <w:rsid w:val="00AB3AB8"/>
    <w:rsid w:val="00AC0959"/>
    <w:rsid w:val="00AC1F77"/>
    <w:rsid w:val="00AC227B"/>
    <w:rsid w:val="00AD37B1"/>
    <w:rsid w:val="00AE00A5"/>
    <w:rsid w:val="00AE178B"/>
    <w:rsid w:val="00AE3C5E"/>
    <w:rsid w:val="00AE52CD"/>
    <w:rsid w:val="00AF3894"/>
    <w:rsid w:val="00AF5C6B"/>
    <w:rsid w:val="00B00D12"/>
    <w:rsid w:val="00B0383A"/>
    <w:rsid w:val="00B03BA0"/>
    <w:rsid w:val="00B058E8"/>
    <w:rsid w:val="00B15D3D"/>
    <w:rsid w:val="00B15DCA"/>
    <w:rsid w:val="00B36077"/>
    <w:rsid w:val="00B36E5D"/>
    <w:rsid w:val="00B416FE"/>
    <w:rsid w:val="00B42EB6"/>
    <w:rsid w:val="00B438A4"/>
    <w:rsid w:val="00B439C8"/>
    <w:rsid w:val="00B513AE"/>
    <w:rsid w:val="00B5470F"/>
    <w:rsid w:val="00B566A8"/>
    <w:rsid w:val="00B6238A"/>
    <w:rsid w:val="00B658AC"/>
    <w:rsid w:val="00B70C82"/>
    <w:rsid w:val="00B778AD"/>
    <w:rsid w:val="00B8330C"/>
    <w:rsid w:val="00B84DD2"/>
    <w:rsid w:val="00B94DAD"/>
    <w:rsid w:val="00BA147B"/>
    <w:rsid w:val="00BA2CDA"/>
    <w:rsid w:val="00BA64D3"/>
    <w:rsid w:val="00BA68EA"/>
    <w:rsid w:val="00BB0500"/>
    <w:rsid w:val="00BB08E0"/>
    <w:rsid w:val="00BB2242"/>
    <w:rsid w:val="00BB440B"/>
    <w:rsid w:val="00BC7238"/>
    <w:rsid w:val="00BD416E"/>
    <w:rsid w:val="00BE015E"/>
    <w:rsid w:val="00BE09E4"/>
    <w:rsid w:val="00BE0A08"/>
    <w:rsid w:val="00BE3EA9"/>
    <w:rsid w:val="00BE459A"/>
    <w:rsid w:val="00BE5DD6"/>
    <w:rsid w:val="00BE7A0B"/>
    <w:rsid w:val="00BF794F"/>
    <w:rsid w:val="00BF79A2"/>
    <w:rsid w:val="00C01529"/>
    <w:rsid w:val="00C0378F"/>
    <w:rsid w:val="00C05BD3"/>
    <w:rsid w:val="00C13E1A"/>
    <w:rsid w:val="00C202B8"/>
    <w:rsid w:val="00C20FFD"/>
    <w:rsid w:val="00C21944"/>
    <w:rsid w:val="00C30902"/>
    <w:rsid w:val="00C503B2"/>
    <w:rsid w:val="00C6704E"/>
    <w:rsid w:val="00C67F65"/>
    <w:rsid w:val="00C7341E"/>
    <w:rsid w:val="00C827AB"/>
    <w:rsid w:val="00C850C4"/>
    <w:rsid w:val="00C85EC7"/>
    <w:rsid w:val="00C87BBA"/>
    <w:rsid w:val="00C90248"/>
    <w:rsid w:val="00C9270E"/>
    <w:rsid w:val="00CA6217"/>
    <w:rsid w:val="00CA6FC4"/>
    <w:rsid w:val="00CA7164"/>
    <w:rsid w:val="00CA7468"/>
    <w:rsid w:val="00CA7FCE"/>
    <w:rsid w:val="00CB0BA8"/>
    <w:rsid w:val="00CB2A5A"/>
    <w:rsid w:val="00CB6E5E"/>
    <w:rsid w:val="00CB7DB5"/>
    <w:rsid w:val="00CC1BC6"/>
    <w:rsid w:val="00CD4BD1"/>
    <w:rsid w:val="00CD52F2"/>
    <w:rsid w:val="00CD76C0"/>
    <w:rsid w:val="00CE3EE2"/>
    <w:rsid w:val="00CE7A87"/>
    <w:rsid w:val="00CF06BD"/>
    <w:rsid w:val="00CF4F3D"/>
    <w:rsid w:val="00CF7056"/>
    <w:rsid w:val="00CF72AD"/>
    <w:rsid w:val="00D004CB"/>
    <w:rsid w:val="00D103B3"/>
    <w:rsid w:val="00D120E1"/>
    <w:rsid w:val="00D12F98"/>
    <w:rsid w:val="00D222E9"/>
    <w:rsid w:val="00D23123"/>
    <w:rsid w:val="00D24E65"/>
    <w:rsid w:val="00D31EFB"/>
    <w:rsid w:val="00D36583"/>
    <w:rsid w:val="00D37121"/>
    <w:rsid w:val="00D57ECF"/>
    <w:rsid w:val="00D6469B"/>
    <w:rsid w:val="00D64B96"/>
    <w:rsid w:val="00D732D9"/>
    <w:rsid w:val="00D73E25"/>
    <w:rsid w:val="00D8434B"/>
    <w:rsid w:val="00D84DC3"/>
    <w:rsid w:val="00D85231"/>
    <w:rsid w:val="00D90D9A"/>
    <w:rsid w:val="00D9179B"/>
    <w:rsid w:val="00D937AE"/>
    <w:rsid w:val="00D9592A"/>
    <w:rsid w:val="00DA0D6B"/>
    <w:rsid w:val="00DA2583"/>
    <w:rsid w:val="00DA4533"/>
    <w:rsid w:val="00DB1695"/>
    <w:rsid w:val="00DC041C"/>
    <w:rsid w:val="00DC3386"/>
    <w:rsid w:val="00DC3970"/>
    <w:rsid w:val="00DC5C61"/>
    <w:rsid w:val="00DD21BE"/>
    <w:rsid w:val="00DD440A"/>
    <w:rsid w:val="00DD4B38"/>
    <w:rsid w:val="00DD6DC0"/>
    <w:rsid w:val="00DE4213"/>
    <w:rsid w:val="00DF0EF6"/>
    <w:rsid w:val="00DF17D2"/>
    <w:rsid w:val="00DF2CD2"/>
    <w:rsid w:val="00DF735D"/>
    <w:rsid w:val="00E000A2"/>
    <w:rsid w:val="00E17C72"/>
    <w:rsid w:val="00E30C3B"/>
    <w:rsid w:val="00E31001"/>
    <w:rsid w:val="00E33169"/>
    <w:rsid w:val="00E45E04"/>
    <w:rsid w:val="00E46122"/>
    <w:rsid w:val="00E53696"/>
    <w:rsid w:val="00E614E2"/>
    <w:rsid w:val="00E64030"/>
    <w:rsid w:val="00E76685"/>
    <w:rsid w:val="00E802B0"/>
    <w:rsid w:val="00E8750D"/>
    <w:rsid w:val="00E92EB2"/>
    <w:rsid w:val="00EA112D"/>
    <w:rsid w:val="00EA638B"/>
    <w:rsid w:val="00EB1DD7"/>
    <w:rsid w:val="00EB63E4"/>
    <w:rsid w:val="00EB7A7F"/>
    <w:rsid w:val="00ED5269"/>
    <w:rsid w:val="00ED6C4D"/>
    <w:rsid w:val="00ED73FD"/>
    <w:rsid w:val="00EE76AD"/>
    <w:rsid w:val="00EF31DC"/>
    <w:rsid w:val="00EF4BB0"/>
    <w:rsid w:val="00F01AA6"/>
    <w:rsid w:val="00F01FEC"/>
    <w:rsid w:val="00F023A3"/>
    <w:rsid w:val="00F03A5C"/>
    <w:rsid w:val="00F05AED"/>
    <w:rsid w:val="00F05FF9"/>
    <w:rsid w:val="00F13803"/>
    <w:rsid w:val="00F17533"/>
    <w:rsid w:val="00F254C3"/>
    <w:rsid w:val="00F31083"/>
    <w:rsid w:val="00F35DD4"/>
    <w:rsid w:val="00F41370"/>
    <w:rsid w:val="00F423B0"/>
    <w:rsid w:val="00F547CA"/>
    <w:rsid w:val="00F5581D"/>
    <w:rsid w:val="00F65B87"/>
    <w:rsid w:val="00F67C59"/>
    <w:rsid w:val="00F73150"/>
    <w:rsid w:val="00F8271C"/>
    <w:rsid w:val="00F84D2B"/>
    <w:rsid w:val="00F8786F"/>
    <w:rsid w:val="00F87D24"/>
    <w:rsid w:val="00FA219B"/>
    <w:rsid w:val="00FA4768"/>
    <w:rsid w:val="00FA5E83"/>
    <w:rsid w:val="00FB1051"/>
    <w:rsid w:val="00FB2A81"/>
    <w:rsid w:val="00FB566E"/>
    <w:rsid w:val="00FC7C30"/>
    <w:rsid w:val="00FD213C"/>
    <w:rsid w:val="00FD5E27"/>
    <w:rsid w:val="00FE6FE3"/>
    <w:rsid w:val="00FF7216"/>
  </w:rsids>
  <m:mathPr>
    <m:mathFont m:val="Cambria Math"/>
    <m:brkBin m:val="before"/>
    <m:brkBinSub m:val="--"/>
    <m:smallFrac m:val="0"/>
    <m:dispDef m:val="0"/>
    <m:lMargin m:val="0"/>
    <m:rMargin m:val="0"/>
    <m:defJc m:val="centerGroup"/>
    <m:wrapRight/>
    <m:intLim m:val="subSup"/>
    <m:naryLim m:val="subSup"/>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BC46A"/>
  <w15:docId w15:val="{21BA772B-8152-4497-870F-5E7E992E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117"/>
    <w:pPr>
      <w:spacing w:before="120" w:after="120"/>
    </w:pPr>
    <w:rPr>
      <w:rFonts w:asciiTheme="minorHAnsi" w:eastAsia="Times New Roman" w:hAnsiTheme="minorHAnsi"/>
      <w:spacing w:val="-2"/>
      <w:szCs w:val="24"/>
    </w:rPr>
  </w:style>
  <w:style w:type="paragraph" w:styleId="Heading1">
    <w:name w:val="heading 1"/>
    <w:basedOn w:val="Normal"/>
    <w:next w:val="Normal"/>
    <w:link w:val="Heading1Char"/>
    <w:uiPriority w:val="1"/>
    <w:qFormat/>
    <w:rsid w:val="00867DBB"/>
    <w:pPr>
      <w:keepNext/>
      <w:keepLines/>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1"/>
    <w:qFormat/>
    <w:rsid w:val="003A0305"/>
    <w:pPr>
      <w:keepNext/>
      <w:keepLines/>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ED6C4D"/>
    <w:pPr>
      <w:keepNext/>
      <w:keepLines/>
      <w:contextualSpacing/>
      <w:outlineLvl w:val="2"/>
    </w:pPr>
    <w:rPr>
      <w:rFonts w:asciiTheme="majorHAnsi" w:eastAsiaTheme="majorEastAsia" w:hAnsiTheme="majorHAnsi" w:cstheme="majorBidi"/>
      <w:b/>
      <w:bCs/>
      <w:sz w:val="18"/>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1203E5"/>
    <w:pPr>
      <w:spacing w:before="0" w:after="360"/>
    </w:pPr>
    <w:rPr>
      <w:noProof/>
      <w:sz w:val="28"/>
      <w:szCs w:val="28"/>
      <w:lang w:eastAsia="en-AU"/>
    </w:rPr>
  </w:style>
  <w:style w:type="paragraph" w:styleId="Header">
    <w:name w:val="header"/>
    <w:basedOn w:val="Normal"/>
    <w:rsid w:val="00587074"/>
    <w:pPr>
      <w:tabs>
        <w:tab w:val="center" w:pos="4153"/>
        <w:tab w:val="right" w:pos="8306"/>
      </w:tabs>
      <w:spacing w:before="0" w:after="0"/>
    </w:pPr>
  </w:style>
  <w:style w:type="paragraph" w:styleId="Footer">
    <w:name w:val="footer"/>
    <w:basedOn w:val="Normal"/>
    <w:link w:val="FooterChar"/>
    <w:rsid w:val="00183019"/>
    <w:pPr>
      <w:tabs>
        <w:tab w:val="center" w:pos="4153"/>
        <w:tab w:val="right" w:pos="8306"/>
      </w:tabs>
      <w:spacing w:before="0" w:after="0"/>
      <w:jc w:val="right"/>
    </w:pPr>
    <w:rPr>
      <w:sz w:val="14"/>
    </w:rPr>
  </w:style>
  <w:style w:type="paragraph" w:customStyle="1" w:styleId="Source">
    <w:name w:val="Source"/>
    <w:basedOn w:val="Normal"/>
    <w:next w:val="Normal"/>
    <w:uiPriority w:val="99"/>
    <w:qFormat/>
    <w:rsid w:val="00ED6C4D"/>
    <w:pPr>
      <w:spacing w:before="40" w:after="40"/>
      <w:ind w:left="142" w:hanging="142"/>
    </w:pPr>
    <w:rPr>
      <w:rFonts w:cstheme="minorHAnsi"/>
      <w:sz w:val="14"/>
      <w:szCs w:val="14"/>
    </w:rPr>
  </w:style>
  <w:style w:type="table" w:styleId="MediumShading1-Accent1">
    <w:name w:val="Medium Shading 1 Accent 1"/>
    <w:aliases w:val="Default table design"/>
    <w:basedOn w:val="TableNormal"/>
    <w:uiPriority w:val="63"/>
    <w:rsid w:val="00DA4533"/>
    <w:rPr>
      <w:rFonts w:asciiTheme="minorHAnsi" w:hAnsiTheme="minorHAnsi"/>
      <w:sz w:val="18"/>
    </w:rPr>
    <w:tblPr>
      <w:tblStyleRowBandSize w:val="1"/>
      <w:tblStyleColBandSize w:val="1"/>
      <w:tblInd w:w="85" w:type="dxa"/>
      <w:tblBorders>
        <w:top w:val="single" w:sz="4" w:space="0" w:color="ECECEC"/>
        <w:bottom w:val="single" w:sz="4" w:space="0" w:color="ECECEC"/>
        <w:insideH w:val="single" w:sz="4" w:space="0" w:color="ECECEC"/>
      </w:tblBorders>
      <w:tblCellMar>
        <w:top w:w="28" w:type="dxa"/>
        <w:left w:w="85" w:type="dxa"/>
        <w:bottom w:w="28" w:type="dxa"/>
        <w:right w:w="85" w:type="dxa"/>
      </w:tblCellMar>
    </w:tblPr>
    <w:tblStylePr w:type="firstRow">
      <w:pPr>
        <w:spacing w:before="0" w:after="0" w:line="240" w:lineRule="auto"/>
      </w:pPr>
      <w:rPr>
        <w:b/>
        <w:bCs/>
        <w:color w:val="000000" w:themeColor="text1"/>
      </w:rPr>
      <w:tblPr/>
      <w:tcPr>
        <w:shd w:val="clear" w:color="auto" w:fill="ECECEC"/>
      </w:tcPr>
    </w:tblStylePr>
    <w:tblStylePr w:type="lastRow">
      <w:pPr>
        <w:spacing w:before="0" w:after="0" w:line="240" w:lineRule="auto"/>
      </w:pPr>
      <w:rPr>
        <w:b/>
        <w:bCs/>
      </w:rPr>
      <w:tblPr/>
      <w:tcPr>
        <w:shd w:val="clear" w:color="auto" w:fill="F2F2F2" w:themeFill="background1" w:themeFillShade="F2"/>
      </w:tcPr>
    </w:tblStylePr>
    <w:tblStylePr w:type="firstCol">
      <w:rPr>
        <w:b/>
        <w:bCs/>
      </w:rPr>
      <w:tblPr/>
      <w:tcPr>
        <w:shd w:val="clear" w:color="auto" w:fill="ECECEC"/>
      </w:tcPr>
    </w:tblStylePr>
    <w:tblStylePr w:type="lastCol">
      <w:rPr>
        <w:b/>
        <w:bCs/>
      </w:rPr>
    </w:tblStylePr>
    <w:tblStylePr w:type="band2Horz">
      <w:tblPr/>
      <w:tcPr>
        <w:shd w:val="clear" w:color="auto" w:fill="ECECEC"/>
      </w:tcPr>
    </w:tblStylePr>
  </w:style>
  <w:style w:type="character" w:styleId="Hyperlink">
    <w:name w:val="Hyperlink"/>
    <w:uiPriority w:val="99"/>
    <w:rsid w:val="00857AC3"/>
    <w:rPr>
      <w:b/>
      <w:color w:val="1B396A" w:themeColor="accent1"/>
      <w:u w:val="none"/>
    </w:rPr>
  </w:style>
  <w:style w:type="paragraph" w:styleId="Date">
    <w:name w:val="Date"/>
    <w:basedOn w:val="Normal"/>
    <w:next w:val="Normal"/>
    <w:link w:val="DateChar"/>
    <w:uiPriority w:val="2"/>
    <w:rsid w:val="00783D34"/>
    <w:pPr>
      <w:spacing w:before="0" w:after="0"/>
      <w:jc w:val="right"/>
    </w:pPr>
    <w:rPr>
      <w:b/>
      <w:color w:val="1B396A"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1B396A"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qFormat/>
    <w:rsid w:val="00414F87"/>
    <w:pPr>
      <w:spacing w:before="0" w:after="60"/>
    </w:pPr>
    <w:rPr>
      <w:spacing w:val="-4"/>
      <w:sz w:val="14"/>
      <w:szCs w:val="14"/>
      <w:lang w:eastAsia="en-AU"/>
    </w:rPr>
  </w:style>
  <w:style w:type="paragraph" w:customStyle="1" w:styleId="Signoff">
    <w:name w:val="Sign off"/>
    <w:basedOn w:val="Normal"/>
    <w:uiPriority w:val="99"/>
    <w:rsid w:val="00406885"/>
    <w:pPr>
      <w:spacing w:before="0" w:after="0"/>
    </w:pPr>
    <w:rPr>
      <w:sz w:val="22"/>
      <w:szCs w:val="22"/>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672227"/>
    <w:pPr>
      <w:ind w:left="720"/>
    </w:pPr>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semiHidden/>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3A0305"/>
    <w:rPr>
      <w:rFonts w:asciiTheme="majorHAnsi" w:eastAsiaTheme="majorEastAsia" w:hAnsiTheme="majorHAnsi" w:cstheme="majorBidi"/>
      <w:b/>
      <w:bCs/>
      <w:spacing w:val="-2"/>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183019"/>
    <w:rPr>
      <w:rFonts w:asciiTheme="minorHAnsi" w:eastAsia="Times New Roman" w:hAnsiTheme="minorHAnsi"/>
      <w:spacing w:val="-2"/>
      <w:sz w:val="14"/>
      <w:szCs w:val="24"/>
    </w:rPr>
  </w:style>
  <w:style w:type="character" w:customStyle="1" w:styleId="Heading1Char">
    <w:name w:val="Heading 1 Char"/>
    <w:basedOn w:val="DefaultParagraphFont"/>
    <w:link w:val="Heading1"/>
    <w:uiPriority w:val="1"/>
    <w:rsid w:val="00867DB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1"/>
    <w:rsid w:val="00ED6C4D"/>
    <w:rPr>
      <w:rFonts w:asciiTheme="majorHAnsi" w:eastAsiaTheme="majorEastAsia" w:hAnsiTheme="majorHAnsi" w:cstheme="majorBidi"/>
      <w:b/>
      <w:bCs/>
      <w:spacing w:val="-2"/>
      <w:sz w:val="18"/>
      <w:szCs w:val="24"/>
    </w:rPr>
  </w:style>
  <w:style w:type="paragraph" w:styleId="ListBullet">
    <w:name w:val="List Bullet"/>
    <w:basedOn w:val="Normal"/>
    <w:qFormat/>
    <w:rsid w:val="00426D18"/>
    <w:pPr>
      <w:numPr>
        <w:numId w:val="44"/>
      </w:numPr>
      <w:spacing w:before="40" w:after="40"/>
    </w:pPr>
  </w:style>
  <w:style w:type="paragraph" w:styleId="Subtitle">
    <w:name w:val="Subtitle"/>
    <w:basedOn w:val="Normal"/>
    <w:next w:val="Normal"/>
    <w:link w:val="SubtitleChar"/>
    <w:rsid w:val="001203E5"/>
    <w:pPr>
      <w:spacing w:before="0" w:after="0" w:line="216" w:lineRule="auto"/>
    </w:pPr>
    <w:rPr>
      <w:color w:val="FFFFFF" w:themeColor="background1"/>
      <w:spacing w:val="-10"/>
      <w:sz w:val="32"/>
      <w:szCs w:val="22"/>
    </w:rPr>
  </w:style>
  <w:style w:type="character" w:customStyle="1" w:styleId="SubtitleChar">
    <w:name w:val="Subtitle Char"/>
    <w:basedOn w:val="DefaultParagraphFont"/>
    <w:link w:val="Subtitle"/>
    <w:rsid w:val="001203E5"/>
    <w:rPr>
      <w:rFonts w:asciiTheme="minorHAnsi" w:eastAsia="Times New Roman" w:hAnsiTheme="minorHAnsi"/>
      <w:color w:val="FFFFFF" w:themeColor="background1"/>
      <w:spacing w:val="-10"/>
      <w:sz w:val="32"/>
      <w:szCs w:val="22"/>
    </w:rPr>
  </w:style>
  <w:style w:type="paragraph" w:styleId="Title">
    <w:name w:val="Title"/>
    <w:basedOn w:val="Normal"/>
    <w:next w:val="Normal"/>
    <w:link w:val="TitleChar"/>
    <w:rsid w:val="001203E5"/>
    <w:pPr>
      <w:spacing w:before="0" w:after="0" w:line="204" w:lineRule="auto"/>
    </w:pPr>
    <w:rPr>
      <w:color w:val="FFFFFF" w:themeColor="background1"/>
      <w:spacing w:val="-20"/>
      <w:sz w:val="60"/>
      <w:szCs w:val="52"/>
    </w:rPr>
  </w:style>
  <w:style w:type="character" w:customStyle="1" w:styleId="TitleChar">
    <w:name w:val="Title Char"/>
    <w:basedOn w:val="DefaultParagraphFont"/>
    <w:link w:val="Title"/>
    <w:rsid w:val="001203E5"/>
    <w:rPr>
      <w:rFonts w:asciiTheme="minorHAnsi" w:eastAsia="Times New Roman" w:hAnsiTheme="minorHAnsi"/>
      <w:color w:val="FFFFFF" w:themeColor="background1"/>
      <w:spacing w:val="-20"/>
      <w:sz w:val="60"/>
      <w:szCs w:val="52"/>
    </w:rPr>
  </w:style>
  <w:style w:type="paragraph" w:styleId="ListBullet2">
    <w:name w:val="List Bullet 2"/>
    <w:basedOn w:val="Normal"/>
    <w:qFormat/>
    <w:rsid w:val="00426D18"/>
    <w:pPr>
      <w:numPr>
        <w:ilvl w:val="1"/>
        <w:numId w:val="44"/>
      </w:numPr>
      <w:spacing w:before="40" w:after="40"/>
    </w:pPr>
  </w:style>
  <w:style w:type="table" w:customStyle="1" w:styleId="TableGrid4">
    <w:name w:val="Table Grid4"/>
    <w:basedOn w:val="TableNormal"/>
    <w:next w:val="TableGrid"/>
    <w:rsid w:val="005C511F"/>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unt Fact File">
      <a:dk1>
        <a:sysClr val="windowText" lastClr="000000"/>
      </a:dk1>
      <a:lt1>
        <a:sysClr val="window" lastClr="FFFFFF"/>
      </a:lt1>
      <a:dk2>
        <a:srgbClr val="1B396A"/>
      </a:dk2>
      <a:lt2>
        <a:srgbClr val="FFFFFF"/>
      </a:lt2>
      <a:accent1>
        <a:srgbClr val="1B396A"/>
      </a:accent1>
      <a:accent2>
        <a:srgbClr val="A9BBCC"/>
      </a:accent2>
      <a:accent3>
        <a:srgbClr val="D9861C"/>
      </a:accent3>
      <a:accent4>
        <a:srgbClr val="EEC216"/>
      </a:accent4>
      <a:accent5>
        <a:srgbClr val="3F3F3F"/>
      </a:accent5>
      <a:accent6>
        <a:srgbClr val="7F7F7F"/>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DAEF-0E85-4D19-B346-69C01C37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3.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aa738544-32a4-411c-8186-5d55981d2b6e"/>
    <ds:schemaRef ds:uri="97884903-a30f-431d-8d90-f33171442c10"/>
    <ds:schemaRef ds:uri="http://schemas.microsoft.com/office/infopath/2007/PartnerControls"/>
  </ds:schemaRefs>
</ds:datastoreItem>
</file>

<file path=customXml/itemProps4.xml><?xml version="1.0" encoding="utf-8"?>
<ds:datastoreItem xmlns:ds="http://schemas.openxmlformats.org/officeDocument/2006/customXml" ds:itemID="{8C7BE2F1-106D-4D2B-9003-60B01B3B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998</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FW Factfile</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Count-Interest-Rates</dc:title>
  <dc:creator>kim reeves</dc:creator>
  <cp:lastModifiedBy>Michelle Komolafe</cp:lastModifiedBy>
  <cp:revision>2</cp:revision>
  <cp:lastPrinted>2020-07-06T02:34:00Z</cp:lastPrinted>
  <dcterms:created xsi:type="dcterms:W3CDTF">2023-08-17T04:41:00Z</dcterms:created>
  <dcterms:modified xsi:type="dcterms:W3CDTF">2023-08-17T04:41:00Z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4929200</vt:r8>
  </property>
  <property fmtid="{D5CDD505-2E9C-101B-9397-08002B2CF9AE}" pid="4" name="GrammarlyDocumentId">
    <vt:lpwstr>d4258fef9947b35a7468cbcba6bcd7ef4f6d5a71098718ff2a7ba8bfdec21b52</vt:lpwstr>
  </property>
  <property fmtid="{D5CDD505-2E9C-101B-9397-08002B2CF9AE}" pid="5" name="MediaServiceImageTags">
    <vt:lpwstr/>
  </property>
</Properties>
</file>