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541" w:type="dxa"/>
        <w:tblInd w:w="2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27" w:type="dxa"/>
          <w:left w:w="227" w:type="dxa"/>
          <w:bottom w:w="113" w:type="dxa"/>
          <w:right w:w="227" w:type="dxa"/>
        </w:tblCellMar>
        <w:tblLook w:val="0480" w:firstRow="0" w:lastRow="0" w:firstColumn="1" w:lastColumn="0" w:noHBand="0" w:noVBand="1"/>
      </w:tblPr>
      <w:tblGrid>
        <w:gridCol w:w="10541"/>
      </w:tblGrid>
      <w:tr w:rsidR="00500C1B" w:rsidRPr="00FA219B" w14:paraId="10658964" w14:textId="77777777" w:rsidTr="00500C1B">
        <w:trPr>
          <w:trHeight w:val="851"/>
        </w:trPr>
        <w:tc>
          <w:tcPr>
            <w:tcW w:w="10541" w:type="dxa"/>
            <w:tcMar>
              <w:top w:w="0" w:type="dxa"/>
              <w:right w:w="0" w:type="dxa"/>
            </w:tcMar>
          </w:tcPr>
          <w:p w14:paraId="1695EB03" w14:textId="3C41FB05" w:rsidR="00500C1B" w:rsidRPr="00FA219B" w:rsidRDefault="00500C1B" w:rsidP="0028358A">
            <w:pPr>
              <w:spacing w:before="0" w:after="0"/>
              <w:jc w:val="right"/>
            </w:pPr>
          </w:p>
        </w:tc>
      </w:tr>
    </w:tbl>
    <w:p w14:paraId="225476C1" w14:textId="77777777" w:rsidR="00500C1B" w:rsidRDefault="00500C1B" w:rsidP="00FA219B">
      <w:pPr>
        <w:pStyle w:val="Title"/>
        <w:sectPr w:rsidR="00500C1B" w:rsidSect="004266E2">
          <w:headerReference w:type="first" r:id="rId11"/>
          <w:type w:val="continuous"/>
          <w:pgSz w:w="11907" w:h="16840" w:code="9"/>
          <w:pgMar w:top="680" w:right="680" w:bottom="340" w:left="680" w:header="454" w:footer="340" w:gutter="0"/>
          <w:cols w:space="720"/>
          <w:noEndnote/>
          <w:titlePg/>
          <w:docGrid w:linePitch="272"/>
        </w:sectPr>
      </w:pPr>
    </w:p>
    <w:p w14:paraId="1F5C6C7A" w14:textId="77777777" w:rsidR="001F11F8" w:rsidRDefault="001F11F8" w:rsidP="001840AC">
      <w:pPr>
        <w:pStyle w:val="Intro"/>
        <w:sectPr w:rsidR="001F11F8" w:rsidSect="004266E2">
          <w:type w:val="continuous"/>
          <w:pgSz w:w="11907" w:h="16840" w:code="9"/>
          <w:pgMar w:top="680" w:right="680" w:bottom="340" w:left="680" w:header="454" w:footer="340" w:gutter="0"/>
          <w:cols w:space="720"/>
          <w:formProt w:val="0"/>
          <w:noEndnote/>
          <w:titlePg/>
          <w:docGrid w:linePitch="272"/>
        </w:sectPr>
      </w:pPr>
    </w:p>
    <w:p w14:paraId="37BA4249" w14:textId="77777777" w:rsidR="001F11F8" w:rsidRPr="001F11F8" w:rsidRDefault="001F11F8" w:rsidP="001F11F8"/>
    <w:p w14:paraId="0AD96E43" w14:textId="77777777" w:rsidR="005912B6" w:rsidRDefault="005912B6" w:rsidP="006B2B49">
      <w:pPr>
        <w:pStyle w:val="Intro"/>
      </w:pPr>
    </w:p>
    <w:p w14:paraId="7F8DCCAC" w14:textId="5CB0EF4E" w:rsidR="00897341" w:rsidRPr="006B2B49" w:rsidRDefault="00B53E20" w:rsidP="006B2B49">
      <w:pPr>
        <w:pStyle w:val="Intro"/>
      </w:pPr>
      <w:r w:rsidRPr="006B2B49">
        <w:t>There are many types of investment vehicles to choose from, with managed funds one of the most popular choices in Australia. Here are some of the reasons for investing in managed funds, direct shares, bonds and exchange traded funds to help you work out which combination is right for you.</w:t>
      </w:r>
      <w:r w:rsidR="00737687" w:rsidRPr="006B2B49">
        <w:t xml:space="preserve"> </w:t>
      </w:r>
    </w:p>
    <w:p w14:paraId="7DF1E0BC" w14:textId="77777777" w:rsidR="00135865" w:rsidRDefault="00135865" w:rsidP="001840AC">
      <w:pPr>
        <w:pStyle w:val="ListParagraph"/>
        <w:ind w:left="360"/>
        <w:rPr>
          <w:rFonts w:ascii="Verdana" w:hAnsi="Verdana" w:cstheme="minorHAnsi"/>
          <w:b/>
        </w:rPr>
        <w:sectPr w:rsidR="00135865" w:rsidSect="004266E2">
          <w:type w:val="continuous"/>
          <w:pgSz w:w="11907" w:h="16840" w:code="9"/>
          <w:pgMar w:top="680" w:right="680" w:bottom="340" w:left="680" w:header="454" w:footer="340" w:gutter="0"/>
          <w:cols w:space="720"/>
          <w:noEndnote/>
          <w:titlePg/>
          <w:docGrid w:linePitch="272"/>
        </w:sectPr>
      </w:pPr>
    </w:p>
    <w:p w14:paraId="43478F0C" w14:textId="77777777" w:rsidR="00B53E20" w:rsidRDefault="00B53E20" w:rsidP="00B53E20">
      <w:pPr>
        <w:pStyle w:val="Heading1"/>
      </w:pPr>
      <w:r>
        <w:t>Types of investment vehicles:</w:t>
      </w:r>
    </w:p>
    <w:p w14:paraId="2B4797DA" w14:textId="77777777" w:rsidR="00B53E20" w:rsidRPr="006B2B49" w:rsidRDefault="00B53E20" w:rsidP="006B2B49">
      <w:pPr>
        <w:pStyle w:val="ListBullet"/>
      </w:pPr>
      <w:r w:rsidRPr="006B2B49">
        <w:t>Managed funds</w:t>
      </w:r>
    </w:p>
    <w:p w14:paraId="74994D86" w14:textId="77777777" w:rsidR="00B53E20" w:rsidRPr="006B2B49" w:rsidRDefault="00B53E20" w:rsidP="006B2B49">
      <w:pPr>
        <w:pStyle w:val="ListBullet"/>
      </w:pPr>
      <w:r w:rsidRPr="006B2B49">
        <w:t>Direct shares (listed equities)</w:t>
      </w:r>
    </w:p>
    <w:p w14:paraId="38400AE3" w14:textId="77777777" w:rsidR="00B53E20" w:rsidRPr="006B2B49" w:rsidRDefault="00B53E20" w:rsidP="006B2B49">
      <w:pPr>
        <w:pStyle w:val="ListBullet"/>
      </w:pPr>
      <w:r w:rsidRPr="006B2B49">
        <w:t>Exchange traded funds</w:t>
      </w:r>
    </w:p>
    <w:p w14:paraId="0BEE6E06" w14:textId="77777777" w:rsidR="00B53E20" w:rsidRPr="006B2B49" w:rsidRDefault="00B53E20" w:rsidP="006B2B49">
      <w:pPr>
        <w:pStyle w:val="ListBullet"/>
      </w:pPr>
      <w:r w:rsidRPr="006B2B49">
        <w:t>Investment bonds</w:t>
      </w:r>
    </w:p>
    <w:p w14:paraId="54FFA190" w14:textId="77777777" w:rsidR="00B53E20" w:rsidRDefault="00B53E20" w:rsidP="00B53E20">
      <w:pPr>
        <w:pStyle w:val="Heading1"/>
      </w:pPr>
      <w:r>
        <w:t>What is a managed fund?</w:t>
      </w:r>
    </w:p>
    <w:p w14:paraId="6DE5F2CB" w14:textId="77777777" w:rsidR="0042572A" w:rsidRDefault="00B53E20" w:rsidP="006B2B49">
      <w:pPr>
        <w:ind w:right="-35"/>
      </w:pPr>
      <w:r>
        <w:t>Managed funds pool the money of many individual investors. This money is then invested by a professional fund manager in different asset classes (</w:t>
      </w:r>
      <w:proofErr w:type="spellStart"/>
      <w:proofErr w:type="gramStart"/>
      <w:r>
        <w:t>eg</w:t>
      </w:r>
      <w:proofErr w:type="spellEnd"/>
      <w:proofErr w:type="gramEnd"/>
      <w:r>
        <w:t xml:space="preserve"> shares, property and bonds) in line with the fund’s stated investment objectives. When you invest in a managed fund, you are allocated a number of ‘units’, rather than shares. Each unit represents an equal portion of the market value of the portfolio of investments. Each unit has a dollar value, known as the ‘unit price’. The unit price will vary according to changes in the market value of the investment </w:t>
      </w:r>
      <w:proofErr w:type="gramStart"/>
      <w:r>
        <w:t>portfolio</w:t>
      </w:r>
      <w:proofErr w:type="gramEnd"/>
      <w:r>
        <w:t xml:space="preserve"> or the total number of units issued for the fund.</w:t>
      </w:r>
    </w:p>
    <w:p w14:paraId="29A03BA6" w14:textId="77777777" w:rsidR="00B53E20" w:rsidRDefault="00B53E20" w:rsidP="00B53E20">
      <w:pPr>
        <w:pStyle w:val="Heading1"/>
      </w:pPr>
      <w:r w:rsidRPr="00B53E20">
        <w:t>What types of managed funds are available?</w:t>
      </w:r>
    </w:p>
    <w:tbl>
      <w:tblPr>
        <w:tblStyle w:val="MediumShading1-Accent1"/>
        <w:tblW w:w="0" w:type="auto"/>
        <w:tblLayout w:type="fixed"/>
        <w:tblLook w:val="0280" w:firstRow="0" w:lastRow="0" w:firstColumn="1" w:lastColumn="0" w:noHBand="1" w:noVBand="0"/>
      </w:tblPr>
      <w:tblGrid>
        <w:gridCol w:w="1560"/>
        <w:gridCol w:w="3599"/>
      </w:tblGrid>
      <w:tr w:rsidR="008F32CB" w:rsidRPr="008F32CB" w14:paraId="1F1BCA2E" w14:textId="77777777" w:rsidTr="00FC032F">
        <w:trPr>
          <w:trHeight w:val="60"/>
        </w:trPr>
        <w:tc>
          <w:tcPr>
            <w:cnfStyle w:val="001000000000" w:firstRow="0" w:lastRow="0" w:firstColumn="1" w:lastColumn="0" w:oddVBand="0" w:evenVBand="0" w:oddHBand="0" w:evenHBand="0" w:firstRowFirstColumn="0" w:firstRowLastColumn="0" w:lastRowFirstColumn="0" w:lastRowLastColumn="0"/>
            <w:tcW w:w="1560" w:type="dxa"/>
          </w:tcPr>
          <w:p w14:paraId="031D2A59" w14:textId="77777777" w:rsidR="008F32CB" w:rsidRPr="008F32CB" w:rsidRDefault="008F32CB" w:rsidP="008F32CB">
            <w:pPr>
              <w:pStyle w:val="TableText"/>
              <w:rPr>
                <w:lang w:val="en-US"/>
              </w:rPr>
            </w:pPr>
            <w:r w:rsidRPr="008F32CB">
              <w:rPr>
                <w:lang w:val="en-US"/>
              </w:rPr>
              <w:t>Growth funds</w:t>
            </w:r>
          </w:p>
        </w:tc>
        <w:tc>
          <w:tcPr>
            <w:tcW w:w="3599" w:type="dxa"/>
          </w:tcPr>
          <w:p w14:paraId="10EE400C" w14:textId="77777777" w:rsidR="008F32CB" w:rsidRPr="008F32CB" w:rsidRDefault="008F32CB" w:rsidP="008F32CB">
            <w:pPr>
              <w:pStyle w:val="TableText"/>
              <w:cnfStyle w:val="000000000000" w:firstRow="0" w:lastRow="0" w:firstColumn="0" w:lastColumn="0" w:oddVBand="0" w:evenVBand="0" w:oddHBand="0" w:evenHBand="0" w:firstRowFirstColumn="0" w:firstRowLastColumn="0" w:lastRowFirstColumn="0" w:lastRowLastColumn="0"/>
              <w:rPr>
                <w:lang w:val="en-US"/>
              </w:rPr>
            </w:pPr>
            <w:r w:rsidRPr="008F32CB">
              <w:rPr>
                <w:lang w:val="en-US"/>
              </w:rPr>
              <w:t>Focus on long term capital growth rather than income and are suitable for investors with a time horizon of more than five years. They mainly invest in Australian and/or international shares and property securities.</w:t>
            </w:r>
          </w:p>
        </w:tc>
      </w:tr>
      <w:tr w:rsidR="008F32CB" w:rsidRPr="008F32CB" w14:paraId="4A8D6332" w14:textId="77777777" w:rsidTr="00FC032F">
        <w:trPr>
          <w:trHeight w:val="60"/>
        </w:trPr>
        <w:tc>
          <w:tcPr>
            <w:cnfStyle w:val="001000000000" w:firstRow="0" w:lastRow="0" w:firstColumn="1" w:lastColumn="0" w:oddVBand="0" w:evenVBand="0" w:oddHBand="0" w:evenHBand="0" w:firstRowFirstColumn="0" w:firstRowLastColumn="0" w:lastRowFirstColumn="0" w:lastRowLastColumn="0"/>
            <w:tcW w:w="1560" w:type="dxa"/>
          </w:tcPr>
          <w:p w14:paraId="08280B93" w14:textId="77777777" w:rsidR="008F32CB" w:rsidRPr="008F32CB" w:rsidRDefault="008F32CB" w:rsidP="008F32CB">
            <w:pPr>
              <w:pStyle w:val="TableText"/>
              <w:rPr>
                <w:lang w:val="en-US"/>
              </w:rPr>
            </w:pPr>
            <w:r w:rsidRPr="008F32CB">
              <w:rPr>
                <w:lang w:val="en-US"/>
              </w:rPr>
              <w:t>Single sector funds</w:t>
            </w:r>
          </w:p>
        </w:tc>
        <w:tc>
          <w:tcPr>
            <w:tcW w:w="3599" w:type="dxa"/>
          </w:tcPr>
          <w:p w14:paraId="0350B71C" w14:textId="77777777" w:rsidR="008F32CB" w:rsidRPr="008F32CB" w:rsidRDefault="008F32CB" w:rsidP="008F32CB">
            <w:pPr>
              <w:pStyle w:val="TableText"/>
              <w:cnfStyle w:val="000000000000" w:firstRow="0" w:lastRow="0" w:firstColumn="0" w:lastColumn="0" w:oddVBand="0" w:evenVBand="0" w:oddHBand="0" w:evenHBand="0" w:firstRowFirstColumn="0" w:firstRowLastColumn="0" w:lastRowFirstColumn="0" w:lastRowLastColumn="0"/>
              <w:rPr>
                <w:lang w:val="en-US"/>
              </w:rPr>
            </w:pPr>
            <w:r w:rsidRPr="008F32CB">
              <w:rPr>
                <w:lang w:val="en-US"/>
              </w:rPr>
              <w:t>Invest in just one asset class – either cash, fixed interest, property, Australian shares or international shares. Some also specialise within an asset class – for example geared share funds or global resources funds.</w:t>
            </w:r>
          </w:p>
        </w:tc>
      </w:tr>
      <w:tr w:rsidR="008F32CB" w:rsidRPr="008F32CB" w14:paraId="22D8EE09" w14:textId="77777777" w:rsidTr="00FC032F">
        <w:trPr>
          <w:trHeight w:val="60"/>
        </w:trPr>
        <w:tc>
          <w:tcPr>
            <w:cnfStyle w:val="001000000000" w:firstRow="0" w:lastRow="0" w:firstColumn="1" w:lastColumn="0" w:oddVBand="0" w:evenVBand="0" w:oddHBand="0" w:evenHBand="0" w:firstRowFirstColumn="0" w:firstRowLastColumn="0" w:lastRowFirstColumn="0" w:lastRowLastColumn="0"/>
            <w:tcW w:w="1560" w:type="dxa"/>
          </w:tcPr>
          <w:p w14:paraId="2D234D95" w14:textId="77777777" w:rsidR="008F32CB" w:rsidRPr="008F32CB" w:rsidRDefault="008F32CB" w:rsidP="008F32CB">
            <w:pPr>
              <w:pStyle w:val="TableText"/>
              <w:rPr>
                <w:lang w:val="en-US"/>
              </w:rPr>
            </w:pPr>
            <w:r w:rsidRPr="008F32CB">
              <w:rPr>
                <w:lang w:val="en-US"/>
              </w:rPr>
              <w:t>Diversified funds</w:t>
            </w:r>
          </w:p>
        </w:tc>
        <w:tc>
          <w:tcPr>
            <w:tcW w:w="3599" w:type="dxa"/>
          </w:tcPr>
          <w:p w14:paraId="3E64247F" w14:textId="77777777" w:rsidR="008F32CB" w:rsidRPr="008F32CB" w:rsidRDefault="008F32CB" w:rsidP="008F32CB">
            <w:pPr>
              <w:pStyle w:val="TableText"/>
              <w:cnfStyle w:val="000000000000" w:firstRow="0" w:lastRow="0" w:firstColumn="0" w:lastColumn="0" w:oddVBand="0" w:evenVBand="0" w:oddHBand="0" w:evenHBand="0" w:firstRowFirstColumn="0" w:firstRowLastColumn="0" w:lastRowFirstColumn="0" w:lastRowLastColumn="0"/>
              <w:rPr>
                <w:lang w:val="en-US"/>
              </w:rPr>
            </w:pPr>
            <w:r w:rsidRPr="008F32CB">
              <w:rPr>
                <w:lang w:val="en-US"/>
              </w:rPr>
              <w:t>Also known as multi-sector funds, these tend to diversify across a number of asset classes.</w:t>
            </w:r>
          </w:p>
        </w:tc>
      </w:tr>
      <w:tr w:rsidR="008F32CB" w:rsidRPr="008F32CB" w14:paraId="1C0A2411" w14:textId="77777777" w:rsidTr="00FC032F">
        <w:trPr>
          <w:trHeight w:val="60"/>
        </w:trPr>
        <w:tc>
          <w:tcPr>
            <w:cnfStyle w:val="001000000000" w:firstRow="0" w:lastRow="0" w:firstColumn="1" w:lastColumn="0" w:oddVBand="0" w:evenVBand="0" w:oddHBand="0" w:evenHBand="0" w:firstRowFirstColumn="0" w:firstRowLastColumn="0" w:lastRowFirstColumn="0" w:lastRowLastColumn="0"/>
            <w:tcW w:w="1560" w:type="dxa"/>
          </w:tcPr>
          <w:p w14:paraId="77309733" w14:textId="77777777" w:rsidR="008F32CB" w:rsidRPr="008F32CB" w:rsidRDefault="008F32CB" w:rsidP="008F32CB">
            <w:pPr>
              <w:pStyle w:val="TableText"/>
              <w:rPr>
                <w:lang w:val="en-US"/>
              </w:rPr>
            </w:pPr>
            <w:r w:rsidRPr="008F32CB">
              <w:rPr>
                <w:lang w:val="en-US"/>
              </w:rPr>
              <w:t>Index funds</w:t>
            </w:r>
          </w:p>
        </w:tc>
        <w:tc>
          <w:tcPr>
            <w:tcW w:w="3599" w:type="dxa"/>
          </w:tcPr>
          <w:p w14:paraId="1E2567C1" w14:textId="77777777" w:rsidR="008F32CB" w:rsidRPr="008F32CB" w:rsidRDefault="008F32CB" w:rsidP="008F32CB">
            <w:pPr>
              <w:pStyle w:val="TableText"/>
              <w:cnfStyle w:val="000000000000" w:firstRow="0" w:lastRow="0" w:firstColumn="0" w:lastColumn="0" w:oddVBand="0" w:evenVBand="0" w:oddHBand="0" w:evenHBand="0" w:firstRowFirstColumn="0" w:firstRowLastColumn="0" w:lastRowFirstColumn="0" w:lastRowLastColumn="0"/>
              <w:rPr>
                <w:lang w:val="en-US"/>
              </w:rPr>
            </w:pPr>
            <w:r w:rsidRPr="008F32CB">
              <w:rPr>
                <w:lang w:val="en-US"/>
              </w:rPr>
              <w:t>Also known as passive funds or ETFs, these funds aim to achieve performance returns broadly in line with a selected market index (for example the S&amp;P/ASX 200).</w:t>
            </w:r>
          </w:p>
        </w:tc>
      </w:tr>
      <w:tr w:rsidR="008F32CB" w:rsidRPr="008F32CB" w14:paraId="6A74ED7D" w14:textId="77777777" w:rsidTr="00FC032F">
        <w:trPr>
          <w:trHeight w:val="60"/>
        </w:trPr>
        <w:tc>
          <w:tcPr>
            <w:cnfStyle w:val="001000000000" w:firstRow="0" w:lastRow="0" w:firstColumn="1" w:lastColumn="0" w:oddVBand="0" w:evenVBand="0" w:oddHBand="0" w:evenHBand="0" w:firstRowFirstColumn="0" w:firstRowLastColumn="0" w:lastRowFirstColumn="0" w:lastRowLastColumn="0"/>
            <w:tcW w:w="1560" w:type="dxa"/>
          </w:tcPr>
          <w:p w14:paraId="4C16688E" w14:textId="77777777" w:rsidR="008F32CB" w:rsidRPr="008F32CB" w:rsidRDefault="008F32CB" w:rsidP="008F32CB">
            <w:pPr>
              <w:pStyle w:val="TableText"/>
              <w:rPr>
                <w:lang w:val="en-US"/>
              </w:rPr>
            </w:pPr>
            <w:r w:rsidRPr="008F32CB">
              <w:rPr>
                <w:lang w:val="en-US"/>
              </w:rPr>
              <w:t>Active funds</w:t>
            </w:r>
          </w:p>
        </w:tc>
        <w:tc>
          <w:tcPr>
            <w:tcW w:w="3599" w:type="dxa"/>
          </w:tcPr>
          <w:p w14:paraId="12B5FB43" w14:textId="77777777" w:rsidR="008F32CB" w:rsidRPr="008F32CB" w:rsidRDefault="008F32CB" w:rsidP="008F32CB">
            <w:pPr>
              <w:pStyle w:val="TableText"/>
              <w:cnfStyle w:val="000000000000" w:firstRow="0" w:lastRow="0" w:firstColumn="0" w:lastColumn="0" w:oddVBand="0" w:evenVBand="0" w:oddHBand="0" w:evenHBand="0" w:firstRowFirstColumn="0" w:firstRowLastColumn="0" w:lastRowFirstColumn="0" w:lastRowLastColumn="0"/>
              <w:rPr>
                <w:lang w:val="en-US"/>
              </w:rPr>
            </w:pPr>
            <w:r w:rsidRPr="008F32CB">
              <w:rPr>
                <w:lang w:val="en-US"/>
              </w:rPr>
              <w:t>These funds are actively managed and aim to outperform a particular index. The fund manager researches the market and buys and sells assets based on the fund’s objective.</w:t>
            </w:r>
          </w:p>
        </w:tc>
      </w:tr>
    </w:tbl>
    <w:p w14:paraId="22C7BE70" w14:textId="77777777" w:rsidR="00FC032F" w:rsidRDefault="00FC032F"/>
    <w:p w14:paraId="63E182FC" w14:textId="77777777" w:rsidR="00FC032F" w:rsidRDefault="00FC032F"/>
    <w:tbl>
      <w:tblPr>
        <w:tblStyle w:val="MediumShading1-Accent1"/>
        <w:tblW w:w="0" w:type="auto"/>
        <w:tblLayout w:type="fixed"/>
        <w:tblLook w:val="0280" w:firstRow="0" w:lastRow="0" w:firstColumn="1" w:lastColumn="0" w:noHBand="1" w:noVBand="0"/>
      </w:tblPr>
      <w:tblGrid>
        <w:gridCol w:w="1560"/>
        <w:gridCol w:w="3599"/>
      </w:tblGrid>
      <w:tr w:rsidR="008F32CB" w:rsidRPr="008F32CB" w14:paraId="5C2B08A6" w14:textId="77777777" w:rsidTr="00FC032F">
        <w:trPr>
          <w:trHeight w:val="60"/>
        </w:trPr>
        <w:tc>
          <w:tcPr>
            <w:cnfStyle w:val="001000000000" w:firstRow="0" w:lastRow="0" w:firstColumn="1" w:lastColumn="0" w:oddVBand="0" w:evenVBand="0" w:oddHBand="0" w:evenHBand="0" w:firstRowFirstColumn="0" w:firstRowLastColumn="0" w:lastRowFirstColumn="0" w:lastRowLastColumn="0"/>
            <w:tcW w:w="1560" w:type="dxa"/>
          </w:tcPr>
          <w:p w14:paraId="5D6AF581" w14:textId="77777777" w:rsidR="008F32CB" w:rsidRPr="008F32CB" w:rsidRDefault="008F32CB" w:rsidP="008F32CB">
            <w:pPr>
              <w:pStyle w:val="TableText"/>
              <w:rPr>
                <w:lang w:val="en-US"/>
              </w:rPr>
            </w:pPr>
            <w:r w:rsidRPr="008F32CB">
              <w:rPr>
                <w:lang w:val="en-US"/>
              </w:rPr>
              <w:t>Income funds</w:t>
            </w:r>
          </w:p>
        </w:tc>
        <w:tc>
          <w:tcPr>
            <w:tcW w:w="3599" w:type="dxa"/>
          </w:tcPr>
          <w:p w14:paraId="6B594EA5" w14:textId="77777777" w:rsidR="008F32CB" w:rsidRPr="008F32CB" w:rsidRDefault="008F32CB" w:rsidP="008F32CB">
            <w:pPr>
              <w:pStyle w:val="TableText"/>
              <w:cnfStyle w:val="000000000000" w:firstRow="0" w:lastRow="0" w:firstColumn="0" w:lastColumn="0" w:oddVBand="0" w:evenVBand="0" w:oddHBand="0" w:evenHBand="0" w:firstRowFirstColumn="0" w:firstRowLastColumn="0" w:lastRowFirstColumn="0" w:lastRowLastColumn="0"/>
              <w:rPr>
                <w:lang w:val="en-US"/>
              </w:rPr>
            </w:pPr>
            <w:r w:rsidRPr="008F32CB">
              <w:rPr>
                <w:lang w:val="en-US"/>
              </w:rPr>
              <w:t xml:space="preserve">Focus on generating an income stream with a lower risk of capital loss. These funds </w:t>
            </w:r>
            <w:r w:rsidRPr="008F32CB">
              <w:rPr>
                <w:lang w:val="en-US"/>
              </w:rPr>
              <w:t>tend to invest primarily in cash and fixed interest investments.</w:t>
            </w:r>
          </w:p>
        </w:tc>
      </w:tr>
      <w:tr w:rsidR="008F32CB" w:rsidRPr="008F32CB" w14:paraId="76978A15" w14:textId="77777777" w:rsidTr="00FC032F">
        <w:trPr>
          <w:trHeight w:val="60"/>
        </w:trPr>
        <w:tc>
          <w:tcPr>
            <w:cnfStyle w:val="001000000000" w:firstRow="0" w:lastRow="0" w:firstColumn="1" w:lastColumn="0" w:oddVBand="0" w:evenVBand="0" w:oddHBand="0" w:evenHBand="0" w:firstRowFirstColumn="0" w:firstRowLastColumn="0" w:lastRowFirstColumn="0" w:lastRowLastColumn="0"/>
            <w:tcW w:w="1560" w:type="dxa"/>
          </w:tcPr>
          <w:p w14:paraId="79F7BA1E" w14:textId="77777777" w:rsidR="008F32CB" w:rsidRPr="008F32CB" w:rsidRDefault="008F32CB" w:rsidP="008F32CB">
            <w:pPr>
              <w:pStyle w:val="TableText"/>
              <w:rPr>
                <w:lang w:val="en-US"/>
              </w:rPr>
            </w:pPr>
            <w:r w:rsidRPr="008F32CB">
              <w:rPr>
                <w:lang w:val="en-US"/>
              </w:rPr>
              <w:t>Multi-manager funds</w:t>
            </w:r>
          </w:p>
        </w:tc>
        <w:tc>
          <w:tcPr>
            <w:tcW w:w="3599" w:type="dxa"/>
          </w:tcPr>
          <w:p w14:paraId="2FAC0DBB" w14:textId="77777777" w:rsidR="008F32CB" w:rsidRPr="008F32CB" w:rsidRDefault="008F32CB" w:rsidP="008F32CB">
            <w:pPr>
              <w:pStyle w:val="TableText"/>
              <w:cnfStyle w:val="000000000000" w:firstRow="0" w:lastRow="0" w:firstColumn="0" w:lastColumn="0" w:oddVBand="0" w:evenVBand="0" w:oddHBand="0" w:evenHBand="0" w:firstRowFirstColumn="0" w:firstRowLastColumn="0" w:lastRowFirstColumn="0" w:lastRowLastColumn="0"/>
              <w:rPr>
                <w:lang w:val="en-US"/>
              </w:rPr>
            </w:pPr>
            <w:r w:rsidRPr="008F32CB">
              <w:rPr>
                <w:lang w:val="en-US"/>
              </w:rPr>
              <w:t xml:space="preserve">Sometimes referred to as ‘fund of </w:t>
            </w:r>
            <w:proofErr w:type="gramStart"/>
            <w:r w:rsidRPr="008F32CB">
              <w:rPr>
                <w:lang w:val="en-US"/>
              </w:rPr>
              <w:t>funds’</w:t>
            </w:r>
            <w:proofErr w:type="gramEnd"/>
            <w:r w:rsidRPr="008F32CB">
              <w:rPr>
                <w:lang w:val="en-US"/>
              </w:rPr>
              <w:t>. Rather than investing directly in shares, cash or fixed interest, this type of fund invests in a selection of other managed funds across a range of different investment managers.</w:t>
            </w:r>
          </w:p>
        </w:tc>
      </w:tr>
    </w:tbl>
    <w:p w14:paraId="2E994EF3" w14:textId="77777777" w:rsidR="00B53E20" w:rsidRPr="00FC032F" w:rsidRDefault="00B64F0D" w:rsidP="00FC032F">
      <w:pPr>
        <w:pStyle w:val="Heading1"/>
      </w:pPr>
      <w:r w:rsidRPr="00FC032F">
        <w:t>What are the advantages</w:t>
      </w:r>
      <w:r w:rsidR="00FC032F">
        <w:t xml:space="preserve"> </w:t>
      </w:r>
      <w:r w:rsidR="00B53E20" w:rsidRPr="00FC032F">
        <w:t>of managed funds?</w:t>
      </w:r>
    </w:p>
    <w:p w14:paraId="4A769BEA" w14:textId="77777777" w:rsidR="00B53E20" w:rsidRDefault="00B53E20" w:rsidP="00B53E20">
      <w:r>
        <w:t>For some investors, managed funds provide the right amount of control without the time-consuming hands-on management required by direct investing.</w:t>
      </w:r>
    </w:p>
    <w:p w14:paraId="43483F77" w14:textId="77777777" w:rsidR="00B53E20" w:rsidRDefault="00B53E20" w:rsidP="00B53E20">
      <w:r>
        <w:t>The advantages of investing in managed funds include:</w:t>
      </w:r>
    </w:p>
    <w:p w14:paraId="45B7A1CE" w14:textId="77777777" w:rsidR="00B53E20" w:rsidRDefault="00B53E20" w:rsidP="00B53E20">
      <w:pPr>
        <w:pStyle w:val="ListBullet"/>
      </w:pPr>
      <w:r w:rsidRPr="00B53E20">
        <w:rPr>
          <w:b/>
        </w:rPr>
        <w:t>Access to sophisticated investments:</w:t>
      </w:r>
      <w:r>
        <w:t xml:space="preserve"> investing in a managed fund gives you access to a range of investments that may not ordinarily be available or affordable to you as a single investor.</w:t>
      </w:r>
    </w:p>
    <w:p w14:paraId="30C7330E" w14:textId="77777777" w:rsidR="00B53E20" w:rsidRDefault="00B53E20" w:rsidP="00B53E20">
      <w:pPr>
        <w:pStyle w:val="ListBullet"/>
      </w:pPr>
      <w:r w:rsidRPr="00B53E20">
        <w:rPr>
          <w:b/>
        </w:rPr>
        <w:t>Diversification:</w:t>
      </w:r>
      <w:r>
        <w:t xml:space="preserve"> through managed funds, you can access different fund managers, asset classes, companies, industries, sectors and countries. To achieve this level of diversification when investing directly, you would need large sums of money to invest.</w:t>
      </w:r>
    </w:p>
    <w:p w14:paraId="64FE640B" w14:textId="77777777" w:rsidR="00B53E20" w:rsidRDefault="00B53E20" w:rsidP="00B53E20">
      <w:pPr>
        <w:pStyle w:val="ListBullet"/>
      </w:pPr>
      <w:r w:rsidRPr="00B53E20">
        <w:rPr>
          <w:b/>
        </w:rPr>
        <w:t>Your money is managed by experts:</w:t>
      </w:r>
      <w:r>
        <w:t xml:space="preserve"> the qualified investment professionals managing your money have access to information, research and investment processes not readily available to individuals.</w:t>
      </w:r>
    </w:p>
    <w:p w14:paraId="0E50F089" w14:textId="77777777" w:rsidR="00B53E20" w:rsidRDefault="00B53E20" w:rsidP="00B53E20">
      <w:pPr>
        <w:pStyle w:val="ListBullet"/>
      </w:pPr>
      <w:r w:rsidRPr="00B53E20">
        <w:rPr>
          <w:b/>
        </w:rPr>
        <w:t>Regular investment plans:</w:t>
      </w:r>
      <w:r>
        <w:t xml:space="preserve"> many managed funds offer the convenience of a regular investment plan – deducted straight from your bank account – so you can add to your investments on a regular basis.</w:t>
      </w:r>
    </w:p>
    <w:p w14:paraId="522878E2" w14:textId="77777777" w:rsidR="00B53E20" w:rsidRDefault="00B53E20" w:rsidP="00B53E20">
      <w:pPr>
        <w:pStyle w:val="ListBullet"/>
      </w:pPr>
      <w:r w:rsidRPr="00B53E20">
        <w:rPr>
          <w:b/>
        </w:rPr>
        <w:t>Select your investment style:</w:t>
      </w:r>
      <w:r>
        <w:t xml:space="preserve"> you can choose whether to invest in a managed fund designed to deliver income, or one focused on capital growth.</w:t>
      </w:r>
    </w:p>
    <w:p w14:paraId="75B24A05" w14:textId="77777777" w:rsidR="00B53E20" w:rsidRDefault="00B53E20" w:rsidP="00B53E20">
      <w:pPr>
        <w:pStyle w:val="ListBullet"/>
      </w:pPr>
      <w:r w:rsidRPr="00B53E20">
        <w:rPr>
          <w:b/>
        </w:rPr>
        <w:t>Distribution reinvestment:</w:t>
      </w:r>
      <w:r>
        <w:t xml:space="preserve"> managed funds make it easy to reinvest your earnings. This allows you to purchase more units with no additional cash outlay and take advantage of compounding over time.</w:t>
      </w:r>
    </w:p>
    <w:p w14:paraId="53CE8C70" w14:textId="77777777" w:rsidR="00FC032F" w:rsidRDefault="00FC032F" w:rsidP="003F5CA3">
      <w:pPr>
        <w:pStyle w:val="Heading1"/>
      </w:pPr>
      <w:r>
        <w:br w:type="page"/>
      </w:r>
    </w:p>
    <w:p w14:paraId="35EE90CF" w14:textId="77777777" w:rsidR="00B53E20" w:rsidRPr="003F5CA3" w:rsidRDefault="00B53E20" w:rsidP="003F5CA3">
      <w:pPr>
        <w:pStyle w:val="Heading1"/>
      </w:pPr>
      <w:r w:rsidRPr="003F5CA3">
        <w:lastRenderedPageBreak/>
        <w:t>Investing in shares</w:t>
      </w:r>
    </w:p>
    <w:p w14:paraId="1C363329" w14:textId="77777777" w:rsidR="00B53E20" w:rsidRDefault="00B53E20" w:rsidP="00B53E20">
      <w:r>
        <w:t>A shareholding is part ownership of a listed company. The shareholder receives dividends or income from their share investment and the company is able to raise valuable equity capital to fund its growth and operations. The shares can then be sold on the stock exchange and a potential capital gain realised if the share price rises – creating an opportunity for both income and capital growth.</w:t>
      </w:r>
    </w:p>
    <w:p w14:paraId="66557D31" w14:textId="77777777" w:rsidR="00B53E20" w:rsidRPr="00FC032F" w:rsidRDefault="00B53E20" w:rsidP="00FC032F">
      <w:pPr>
        <w:pStyle w:val="Heading1"/>
      </w:pPr>
      <w:r w:rsidRPr="00FC032F">
        <w:t>What are the advantages of shares?</w:t>
      </w:r>
    </w:p>
    <w:p w14:paraId="78B09DB5" w14:textId="77777777" w:rsidR="00B53E20" w:rsidRDefault="00B53E20" w:rsidP="00B53E20">
      <w:pPr>
        <w:pStyle w:val="ListBullet"/>
      </w:pPr>
      <w:r w:rsidRPr="00270154">
        <w:rPr>
          <w:b/>
        </w:rPr>
        <w:t>Flexibility and liquidity:</w:t>
      </w:r>
      <w:r>
        <w:t xml:space="preserve"> shares offer real-time </w:t>
      </w:r>
      <w:proofErr w:type="gramStart"/>
      <w:r>
        <w:t>pricing,</w:t>
      </w:r>
      <w:proofErr w:type="gramEnd"/>
      <w:r>
        <w:t xml:space="preserve"> this means you can buy or sell your shares easily and quickly at any time whenever the market is open. This allows greater transparency plus the flexibility to invest over the long or short term and pick your stocks.</w:t>
      </w:r>
    </w:p>
    <w:p w14:paraId="2A9F31F3" w14:textId="77777777" w:rsidR="00B53E20" w:rsidRDefault="00B53E20" w:rsidP="00B53E20">
      <w:pPr>
        <w:pStyle w:val="ListBullet"/>
      </w:pPr>
      <w:r w:rsidRPr="00270154">
        <w:rPr>
          <w:b/>
        </w:rPr>
        <w:t>Low cost:</w:t>
      </w:r>
      <w:r>
        <w:t xml:space="preserve"> shares are typically a cheaper investment option to manage due to lower operating costs and management fees.</w:t>
      </w:r>
    </w:p>
    <w:p w14:paraId="384C013B" w14:textId="77777777" w:rsidR="00B53E20" w:rsidRDefault="00B53E20" w:rsidP="00B53E20">
      <w:pPr>
        <w:pStyle w:val="ListBullet"/>
      </w:pPr>
      <w:r w:rsidRPr="00270154">
        <w:rPr>
          <w:b/>
        </w:rPr>
        <w:t>Capital growth and dividends:</w:t>
      </w:r>
      <w:r>
        <w:t xml:space="preserve"> shares offer capital growth and maximum control over capital gains realised, as you can make the decision when to sell. Shares held by individuals or trusts for more than 12 months qualify for a 50% discount on any capital gains tax (CGT) payable, in addition complying super funds can qualify for a 33.33% discount. Shares also offer income paid as dividends.</w:t>
      </w:r>
    </w:p>
    <w:p w14:paraId="56D818FC" w14:textId="77777777" w:rsidR="00B53E20" w:rsidRDefault="00B53E20" w:rsidP="00B53E20">
      <w:pPr>
        <w:pStyle w:val="ListBullet"/>
      </w:pPr>
      <w:r w:rsidRPr="00270154">
        <w:rPr>
          <w:b/>
        </w:rPr>
        <w:t>Franking credits:</w:t>
      </w:r>
      <w:r>
        <w:t xml:space="preserve"> Australian shares often include franking or imputation credits, which means where the company has already paid the tax on their profits, you can use these franking credits to offset tax payable on your other income.</w:t>
      </w:r>
    </w:p>
    <w:p w14:paraId="3B43729C" w14:textId="77777777" w:rsidR="00B53E20" w:rsidRDefault="00B53E20" w:rsidP="00B53E20">
      <w:pPr>
        <w:pStyle w:val="Heading1"/>
      </w:pPr>
      <w:r>
        <w:t>Investing in exchange traded funds</w:t>
      </w:r>
    </w:p>
    <w:p w14:paraId="25909634" w14:textId="77777777" w:rsidR="00B53E20" w:rsidRDefault="00B53E20" w:rsidP="00B53E20">
      <w:r>
        <w:t>An Exchange Traded Fund (ETF) is an investment fund traded on stock exchanges, much like shares. An ETF can hold assets such as shares, commodities or bonds. ETFs usually track the performance of an index, giving investors access to an instantly diversified portfolio. ETFs are open-ended funds, meaning investors have the flexibility to buy or sell shares at any time. The premise of an ETF is that you are buying into a selection of companies in one hit, rather than individually picking each company to invest in. The value of your investment is driven by the underlying asset value and general market sentiment.</w:t>
      </w:r>
    </w:p>
    <w:p w14:paraId="36DEFFF7" w14:textId="77777777" w:rsidR="00B53E20" w:rsidRDefault="00B53E20" w:rsidP="00B53E20">
      <w:pPr>
        <w:pStyle w:val="Heading1"/>
      </w:pPr>
      <w:r>
        <w:t>What are the advantages of ETFs?</w:t>
      </w:r>
    </w:p>
    <w:p w14:paraId="240E6D9D" w14:textId="77777777" w:rsidR="00B53E20" w:rsidRDefault="00B53E20" w:rsidP="00B53E20">
      <w:r>
        <w:t xml:space="preserve">ETFs can be managed as a passive investment, which is cost </w:t>
      </w:r>
      <w:proofErr w:type="gramStart"/>
      <w:r>
        <w:t>effective</w:t>
      </w:r>
      <w:proofErr w:type="gramEnd"/>
      <w:r>
        <w:t xml:space="preserve"> and your returns will more than likely match the market. Alternatively using ETFs as part of an actively managed portfolio can assist with reducing costs and enhancing portfolio diversification. Finally ETFs are a good way to gain exposure to international shares and foreign currencies. For an investor looking to avoid volatility, the risk from currency movements needs to be understood before proceeding with an ETF. You should speak to a financial adviser to ensure your investment portfolio suits your requirements.</w:t>
      </w:r>
    </w:p>
    <w:p w14:paraId="588FF36E" w14:textId="77777777" w:rsidR="00B53E20" w:rsidRDefault="00FC032F" w:rsidP="00421A24">
      <w:pPr>
        <w:pStyle w:val="Heading1"/>
      </w:pPr>
      <w:r>
        <w:br w:type="column"/>
      </w:r>
      <w:r w:rsidR="00B53E20">
        <w:t>Investment bonds</w:t>
      </w:r>
    </w:p>
    <w:p w14:paraId="257AA32C" w14:textId="77777777" w:rsidR="00B53E20" w:rsidRDefault="00B53E20" w:rsidP="00B53E20">
      <w:r>
        <w:t xml:space="preserve">Investment bonds can provide you with a simple, tax-effective, long term investment. They are also known as insurance </w:t>
      </w:r>
      <w:proofErr w:type="gramStart"/>
      <w:r>
        <w:t>bonds, and</w:t>
      </w:r>
      <w:proofErr w:type="gramEnd"/>
      <w:r>
        <w:t xml:space="preserve"> are ‘tax-paid’ life policy investments. This means the life company pays the tax on the investment earnings, making them potentially a tax-effective way to invest.</w:t>
      </w:r>
    </w:p>
    <w:p w14:paraId="6CD28B26" w14:textId="77777777" w:rsidR="00B53E20" w:rsidRDefault="00B53E20" w:rsidP="00B53E20">
      <w:pPr>
        <w:pStyle w:val="Heading1"/>
      </w:pPr>
      <w:r>
        <w:t>What are the advantages of bonds?</w:t>
      </w:r>
    </w:p>
    <w:p w14:paraId="64312B89" w14:textId="77777777" w:rsidR="00B53E20" w:rsidRDefault="00B53E20" w:rsidP="00B53E20">
      <w:pPr>
        <w:pStyle w:val="Heading2"/>
      </w:pPr>
      <w:r>
        <w:t>Tax effective investing</w:t>
      </w:r>
    </w:p>
    <w:p w14:paraId="4D6014FD" w14:textId="77777777" w:rsidR="00B53E20" w:rsidRDefault="00B53E20" w:rsidP="00B53E20">
      <w:r>
        <w:t>One of the most significant benefits of investing in bonds is the tax advantages, particularly for investors on a marginal tax rate greater than 30% as this is the maximum rate the life company pays on its investment earnings. Another benefit is provided you hold your investment bond for 10 years, there is no tax on investment withdrawals (as long as contributions each year do not total more than 125% of the previous year’s contributions). You can switch between investment options without tax consequences.</w:t>
      </w:r>
    </w:p>
    <w:p w14:paraId="7A120F2A" w14:textId="77777777" w:rsidR="00B53E20" w:rsidRDefault="00B53E20" w:rsidP="00B53E20">
      <w:pPr>
        <w:pStyle w:val="Heading2"/>
      </w:pPr>
      <w:r>
        <w:t>Investing for children</w:t>
      </w:r>
    </w:p>
    <w:p w14:paraId="21DCB59F" w14:textId="77777777" w:rsidR="00B53E20" w:rsidRDefault="00B53E20" w:rsidP="00B53E20">
      <w:r>
        <w:t>Bonds can be used as an investment vehicle for children without incurring a penalty tax rate. A bond can be set up in a child’s name (ages 10–16) or you can invest on a child’s behalf (under 10 years of age) and transfer the ownership when the child reaches a certain age.</w:t>
      </w:r>
    </w:p>
    <w:p w14:paraId="2B3055E0" w14:textId="77777777" w:rsidR="00B53E20" w:rsidRDefault="00B53E20" w:rsidP="00B53E20">
      <w:pPr>
        <w:pStyle w:val="Heading2"/>
      </w:pPr>
      <w:r>
        <w:t>Estate planning benefits</w:t>
      </w:r>
    </w:p>
    <w:p w14:paraId="785B464B" w14:textId="77777777" w:rsidR="00B53E20" w:rsidRDefault="00B53E20" w:rsidP="00B53E20">
      <w:r>
        <w:t>Bonds are an attractive investment for estate planning as proceeds can be paid to any beneficiary (not just dependants) tax-free. Bonds are flexible as you can nominate more than one beneficiary and stipulate the percentage paid to each upon your death.</w:t>
      </w:r>
    </w:p>
    <w:p w14:paraId="60A495DE" w14:textId="77777777" w:rsidR="00B53E20" w:rsidRDefault="00B53E20" w:rsidP="00B53E20">
      <w:pPr>
        <w:pStyle w:val="Heading2"/>
      </w:pPr>
      <w:r>
        <w:t>Increased Age Pension</w:t>
      </w:r>
    </w:p>
    <w:p w14:paraId="251651C6" w14:textId="77777777" w:rsidR="00B53E20" w:rsidRPr="008B4961" w:rsidRDefault="00B53E20" w:rsidP="00B53E20">
      <w:r>
        <w:t>The amount of your Age Pension depends on your family circumstances, income and assets. A bond, held through a family trust, may provide significant advantages by maximising Age Pension payments if they’re calculated under the Centrelink Income Test. They may also reduce aged care facility costs.</w:t>
      </w:r>
    </w:p>
    <w:p w14:paraId="644BD086" w14:textId="77777777" w:rsidR="007C76D3" w:rsidRPr="008B4961" w:rsidRDefault="007C76D3" w:rsidP="00905668">
      <w:pPr>
        <w:pStyle w:val="TableText"/>
      </w:pPr>
    </w:p>
    <w:p w14:paraId="4B8B9C57" w14:textId="77777777" w:rsidR="007A3A07" w:rsidRPr="008B4961" w:rsidRDefault="00A75923" w:rsidP="008B4961">
      <w:r w:rsidRPr="008B4961">
        <w:rPr>
          <w:noProof/>
          <w:lang w:eastAsia="en-AU"/>
        </w:rPr>
        <mc:AlternateContent>
          <mc:Choice Requires="wps">
            <w:drawing>
              <wp:inline distT="0" distB="0" distL="0" distR="0" wp14:anchorId="132E6E16" wp14:editId="3D5FF472">
                <wp:extent cx="3253740" cy="914400"/>
                <wp:effectExtent l="0" t="0" r="3810" b="4445"/>
                <wp:docPr id="6" name="Text Box 6"/>
                <wp:cNvGraphicFramePr/>
                <a:graphic xmlns:a="http://schemas.openxmlformats.org/drawingml/2006/main">
                  <a:graphicData uri="http://schemas.microsoft.com/office/word/2010/wordprocessingShape">
                    <wps:wsp>
                      <wps:cNvSpPr txBox="1"/>
                      <wps:spPr>
                        <a:xfrm>
                          <a:off x="0" y="0"/>
                          <a:ext cx="3253740" cy="914400"/>
                        </a:xfrm>
                        <a:prstGeom prst="rect">
                          <a:avLst/>
                        </a:prstGeom>
                        <a:solidFill>
                          <a:srgbClr val="ECECEC"/>
                        </a:solidFill>
                        <a:ln w="6350">
                          <a:noFill/>
                        </a:ln>
                      </wps:spPr>
                      <wps:txbx>
                        <w:txbxContent>
                          <w:p w14:paraId="464CF124" w14:textId="77777777" w:rsidR="00B53E20" w:rsidRDefault="00B53E20" w:rsidP="00B53E20">
                            <w:pPr>
                              <w:pStyle w:val="Heading1"/>
                            </w:pPr>
                            <w:r>
                              <w:t>Ways your adviser can help</w:t>
                            </w:r>
                          </w:p>
                          <w:p w14:paraId="10CBC6FA" w14:textId="77777777" w:rsidR="00B53E20" w:rsidRDefault="00B53E20" w:rsidP="00B53E20">
                            <w:r>
                              <w:t>As with any investment, periods when markets are down or volatile are generally not a good time to make hasty decisions. If the value of your investment has fallen due to current market conditions, remember that you are only making a loss on paper. Selling your investment would make those losses real and irreversible.</w:t>
                            </w:r>
                          </w:p>
                          <w:p w14:paraId="749D1093" w14:textId="77777777" w:rsidR="00A75923" w:rsidRDefault="00B53E20" w:rsidP="00B53E20">
                            <w:r>
                              <w:t>If you are ever concerned about your investments, the best thing to do is talk to your financial adviser. They can provide clear, objective advice on how market movements may affect your investments and help to rebalance your portfolio and minimise your tax liability.</w:t>
                            </w:r>
                          </w:p>
                        </w:txbxContent>
                      </wps:txbx>
                      <wps:bodyPr rot="0" spcFirstLastPara="0" vertOverflow="clip" horzOverflow="overflow" vert="horz" wrap="square" lIns="108000" tIns="36000" rIns="108000" bIns="108000" numCol="1" spcCol="0" rtlCol="0" fromWordArt="0" anchor="t" anchorCtr="0" forceAA="0" compatLnSpc="1">
                        <a:prstTxWarp prst="textNoShape">
                          <a:avLst/>
                        </a:prstTxWarp>
                        <a:spAutoFit/>
                      </wps:bodyPr>
                    </wps:wsp>
                  </a:graphicData>
                </a:graphic>
              </wp:inline>
            </w:drawing>
          </mc:Choice>
          <mc:Fallback>
            <w:pict>
              <v:shapetype w14:anchorId="132E6E16" id="_x0000_t202" coordsize="21600,21600" o:spt="202" path="m,l,21600r21600,l21600,xe">
                <v:stroke joinstyle="miter"/>
                <v:path gradientshapeok="t" o:connecttype="rect"/>
              </v:shapetype>
              <v:shape id="Text Box 6" o:spid="_x0000_s1026" type="#_x0000_t202" style="width:256.2pt;height:1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H/dMQIAAFQEAAAOAAAAZHJzL2Uyb0RvYy54bWysVNtu2zAMfR+wfxD0vti5NGuNOEWWLsOA&#10;oi2QDn1WZDk2IIsapcTOvn6UnMvSvQ1DAEUUKYrnHNKz+67RbK/Q1WByPhyknCkjoajNNuc/Xlef&#10;bjlzXphCaDAq5wfl+P3844dZazM1ggp0oZBREuOy1ua88t5mSeJkpRrhBmCVIWcJ2AhPJm6TAkVL&#10;2RudjNJ0mrSAhUWQyjk6feidfB7zl6WS/rksnfJM55xq83HFuG7CmsxnItuisFUtj2WIf6iiEbWh&#10;R8+pHoQXbIf1X6maWiI4KP1AQpNAWdZSRQyEZpi+Q7OuhFURC5Hj7Jkm9//Syqf92r4g890X6EjA&#10;QEhrXeboMODpSmzCP1XKyE8UHs60qc4zSYfj0c3484Rcknx3w8kkjbwml9sWnf+moGFhk3MkWSJb&#10;Yv/oPL1IoaeQ8JgDXRerWuto4Haz1Mj2giT8ugy/UCRduQrThrU5n45v0pjZQLjfx2lD4RdQYee7&#10;TXdEuoHiQAQg9L3hrFzVVOWjcP5FIDUDAaMG98+0lBroEalry1kF+OtyBkdvH0v6kJezlhor5+7n&#10;TqDiTH83pNwwvU2JIOajNZ5GA69cmyvL7JolEPYhTZKVcUvX0evTtkRo3mgMFthDEEbS8zn3nPXb&#10;pe87nsZIqsUiQqL2s8I/mrWVIXVgOkjw2r0JtEedPCn8BKcuFNk7ufrYqJFd7DwxHrUM/PakHmmn&#10;1o16HccszMafdoy6fAzmvwEAAP//AwBQSwMEFAAGAAgAAAAhABpZe7fcAAAABQEAAA8AAABkcnMv&#10;ZG93bnJldi54bWxMj0FLw0AQhe9C/8Mygje7aYiiMZtSheLBQ20stMdNdpqEZGdDdtvGf+/Ui14e&#10;DO/x3jfZcrK9OOPoW0cKFvMIBFLlTEu1gt3X+v4JhA+ajO4doYJv9LDMZzeZTo270BbPRagFl5BP&#10;tYImhCGV0lcNWu3nbkBi7+hGqwOfYy3NqC9cbnsZR9GjtLolXmj0gG8NVl1xsgrqPb1X691refj4&#10;9M9FbI5dFzZK3d1OqxcQAafwF4YrPqNDzkylO5HxolfAj4RfZe9hEScgSg4lSQQyz+R/+vwHAAD/&#10;/wMAUEsBAi0AFAAGAAgAAAAhALaDOJL+AAAA4QEAABMAAAAAAAAAAAAAAAAAAAAAAFtDb250ZW50&#10;X1R5cGVzXS54bWxQSwECLQAUAAYACAAAACEAOP0h/9YAAACUAQAACwAAAAAAAAAAAAAAAAAvAQAA&#10;X3JlbHMvLnJlbHNQSwECLQAUAAYACAAAACEA2lh/3TECAABUBAAADgAAAAAAAAAAAAAAAAAuAgAA&#10;ZHJzL2Uyb0RvYy54bWxQSwECLQAUAAYACAAAACEAGll7t9wAAAAFAQAADwAAAAAAAAAAAAAAAACL&#10;BAAAZHJzL2Rvd25yZXYueG1sUEsFBgAAAAAEAAQA8wAAAJQFAAAAAA==&#10;" fillcolor="#ececec" stroked="f" strokeweight=".5pt">
                <v:textbox style="mso-fit-shape-to-text:t" inset="3mm,1mm,3mm,3mm">
                  <w:txbxContent>
                    <w:p w14:paraId="464CF124" w14:textId="77777777" w:rsidR="00B53E20" w:rsidRDefault="00B53E20" w:rsidP="00B53E20">
                      <w:pPr>
                        <w:pStyle w:val="Heading1"/>
                      </w:pPr>
                      <w:r>
                        <w:t>Ways your adviser can help</w:t>
                      </w:r>
                    </w:p>
                    <w:p w14:paraId="10CBC6FA" w14:textId="77777777" w:rsidR="00B53E20" w:rsidRDefault="00B53E20" w:rsidP="00B53E20">
                      <w:r>
                        <w:t>As with any investment, periods when markets are down or volatile are generally not a good time to make hasty decisions. If the value of your investment has fallen due to current market conditions, remember that you are only making a loss on paper. Selling your investment would make those losses real and irreversible.</w:t>
                      </w:r>
                    </w:p>
                    <w:p w14:paraId="749D1093" w14:textId="77777777" w:rsidR="00A75923" w:rsidRDefault="00B53E20" w:rsidP="00B53E20">
                      <w:r>
                        <w:t>If you are ever concerned about your investments, the best thing to do is talk to your financial adviser. They can provide clear, objective advice on how market movements may affect your investments and help to rebalance your portfolio and minimise your tax liability.</w:t>
                      </w:r>
                    </w:p>
                  </w:txbxContent>
                </v:textbox>
                <w10:anchorlock/>
              </v:shape>
            </w:pict>
          </mc:Fallback>
        </mc:AlternateContent>
      </w:r>
    </w:p>
    <w:p w14:paraId="4891DA9A" w14:textId="77777777" w:rsidR="00482A89" w:rsidRDefault="00482A89" w:rsidP="008B4961"/>
    <w:p w14:paraId="1E7C21E2" w14:textId="77777777" w:rsidR="007D0D3E" w:rsidRPr="008B4961" w:rsidRDefault="007D0D3E" w:rsidP="008B4961"/>
    <w:p w14:paraId="1B2CB013" w14:textId="77777777" w:rsidR="00A75923" w:rsidRPr="00783D34" w:rsidRDefault="00A75923" w:rsidP="00783D34"/>
    <w:p w14:paraId="1C6B7BA2" w14:textId="77777777" w:rsidR="00714278" w:rsidRPr="00DD4B38" w:rsidRDefault="00714278" w:rsidP="00473E33">
      <w:pPr>
        <w:numPr>
          <w:ilvl w:val="0"/>
          <w:numId w:val="5"/>
        </w:numPr>
        <w:spacing w:line="280" w:lineRule="exact"/>
        <w:rPr>
          <w:rFonts w:cstheme="minorHAnsi"/>
        </w:rPr>
        <w:sectPr w:rsidR="00714278" w:rsidRPr="00DD4B38" w:rsidSect="004266E2">
          <w:type w:val="continuous"/>
          <w:pgSz w:w="11907" w:h="16840" w:code="9"/>
          <w:pgMar w:top="680" w:right="680" w:bottom="340" w:left="680" w:header="454" w:footer="340" w:gutter="0"/>
          <w:cols w:num="2" w:space="284"/>
          <w:noEndnote/>
          <w:titlePg/>
          <w:docGrid w:linePitch="272"/>
        </w:sectPr>
      </w:pPr>
    </w:p>
    <w:p w14:paraId="6272A834" w14:textId="77777777" w:rsidR="0042572A" w:rsidRDefault="0042572A" w:rsidP="00DD21BE"/>
    <w:p w14:paraId="63ABAF20" w14:textId="77777777" w:rsidR="005848FC" w:rsidRDefault="005848FC" w:rsidP="00DD21BE"/>
    <w:p w14:paraId="4C6A4F77" w14:textId="77777777" w:rsidR="005848FC" w:rsidRDefault="005848FC" w:rsidP="00DD21BE"/>
    <w:p w14:paraId="25777734" w14:textId="77777777" w:rsidR="005848FC" w:rsidRDefault="005848FC" w:rsidP="00DD21BE"/>
    <w:p w14:paraId="7324B9BD" w14:textId="77777777" w:rsidR="005848FC" w:rsidRDefault="005848FC" w:rsidP="00DD21BE"/>
    <w:p w14:paraId="62F67C2C" w14:textId="77777777" w:rsidR="005848FC" w:rsidRDefault="005848FC" w:rsidP="00DD21BE"/>
    <w:p w14:paraId="25068F35" w14:textId="77777777" w:rsidR="005848FC" w:rsidRDefault="005848FC" w:rsidP="00DD21BE"/>
    <w:p w14:paraId="07B0BB53" w14:textId="77777777" w:rsidR="005848FC" w:rsidRDefault="005848FC" w:rsidP="00DD21BE"/>
    <w:p w14:paraId="220F152E" w14:textId="77777777" w:rsidR="005848FC" w:rsidRDefault="005848FC" w:rsidP="00DD21BE"/>
    <w:p w14:paraId="37AC37C4" w14:textId="77777777" w:rsidR="005848FC" w:rsidRDefault="005848FC" w:rsidP="00DD21BE"/>
    <w:p w14:paraId="64E41A91" w14:textId="77777777" w:rsidR="005848FC" w:rsidRDefault="005848FC" w:rsidP="00DD21BE"/>
    <w:p w14:paraId="1DDC07A4" w14:textId="77777777" w:rsidR="005848FC" w:rsidRDefault="005848FC" w:rsidP="00DD21BE"/>
    <w:p w14:paraId="1D1DE5B0" w14:textId="77777777" w:rsidR="005848FC" w:rsidRDefault="005848FC" w:rsidP="00DD21BE"/>
    <w:p w14:paraId="1F0152E0" w14:textId="77777777" w:rsidR="005848FC" w:rsidRDefault="005848FC" w:rsidP="00DD21BE"/>
    <w:p w14:paraId="10D52F39" w14:textId="77777777" w:rsidR="005848FC" w:rsidRDefault="005848FC" w:rsidP="00DD21BE"/>
    <w:p w14:paraId="5D815AFF" w14:textId="77777777" w:rsidR="005848FC" w:rsidRDefault="005848FC" w:rsidP="00DD21BE"/>
    <w:p w14:paraId="468CD8CE" w14:textId="77777777" w:rsidR="005848FC" w:rsidRDefault="005848FC" w:rsidP="00DD21BE"/>
    <w:p w14:paraId="24662D74" w14:textId="77777777" w:rsidR="005848FC" w:rsidRDefault="005848FC" w:rsidP="00DD21BE"/>
    <w:p w14:paraId="7EEA9414" w14:textId="77777777" w:rsidR="005848FC" w:rsidRDefault="005848FC" w:rsidP="00DD21BE"/>
    <w:p w14:paraId="083FB469" w14:textId="77777777" w:rsidR="005848FC" w:rsidRDefault="005848FC" w:rsidP="00DD21BE"/>
    <w:p w14:paraId="0EF8DE6A" w14:textId="77777777" w:rsidR="005848FC" w:rsidRDefault="005848FC" w:rsidP="00DD21BE"/>
    <w:p w14:paraId="7C7939CF" w14:textId="77777777" w:rsidR="005848FC" w:rsidRDefault="005848FC" w:rsidP="00DD21BE"/>
    <w:p w14:paraId="51ABA7F8" w14:textId="77777777" w:rsidR="005848FC" w:rsidRDefault="005848FC" w:rsidP="00DD21BE"/>
    <w:p w14:paraId="4157B2FB" w14:textId="77777777" w:rsidR="005848FC" w:rsidRDefault="005848FC" w:rsidP="00DD21BE"/>
    <w:p w14:paraId="5C7A1183" w14:textId="77777777" w:rsidR="005848FC" w:rsidRDefault="005848FC" w:rsidP="00DD21BE"/>
    <w:p w14:paraId="51FEAF9F" w14:textId="77777777" w:rsidR="005848FC" w:rsidRDefault="005848FC" w:rsidP="00DD21BE"/>
    <w:p w14:paraId="32A44938" w14:textId="77777777" w:rsidR="005848FC" w:rsidRDefault="005848FC" w:rsidP="00DD21BE"/>
    <w:p w14:paraId="6399B6BE" w14:textId="77777777" w:rsidR="005848FC" w:rsidRDefault="005848FC" w:rsidP="00DD21BE"/>
    <w:p w14:paraId="1B048937" w14:textId="77777777" w:rsidR="005848FC" w:rsidRDefault="005848FC" w:rsidP="00DD21BE"/>
    <w:p w14:paraId="1810D5EE" w14:textId="77777777" w:rsidR="005848FC" w:rsidRDefault="005848FC" w:rsidP="00DD21BE"/>
    <w:p w14:paraId="58EBC1DC" w14:textId="77777777" w:rsidR="005848FC" w:rsidRDefault="005848FC" w:rsidP="006B2B49"/>
    <w:p w14:paraId="6778E9D0" w14:textId="77777777" w:rsidR="005848FC" w:rsidRDefault="005848FC" w:rsidP="006B2B49"/>
    <w:p w14:paraId="49259167" w14:textId="77777777" w:rsidR="00500C1B" w:rsidRDefault="00500C1B" w:rsidP="00500C1B">
      <w:pPr>
        <w:spacing w:before="0" w:after="0"/>
        <w:rPr>
          <w:rFonts w:ascii="Arial" w:hAnsi="Arial"/>
          <w:sz w:val="22"/>
          <w:szCs w:val="22"/>
          <w:lang w:eastAsia="en-AU"/>
        </w:rPr>
      </w:pPr>
    </w:p>
    <w:p w14:paraId="1847FFA6" w14:textId="77777777" w:rsidR="00A91FB5" w:rsidRDefault="00A91FB5" w:rsidP="00500C1B">
      <w:pPr>
        <w:spacing w:before="0" w:after="0"/>
        <w:rPr>
          <w:rFonts w:ascii="Arial" w:hAnsi="Arial"/>
          <w:sz w:val="22"/>
          <w:szCs w:val="22"/>
          <w:lang w:eastAsia="en-AU"/>
        </w:rPr>
      </w:pPr>
    </w:p>
    <w:p w14:paraId="323A3E35" w14:textId="77777777" w:rsidR="00A91FB5" w:rsidRDefault="00A91FB5" w:rsidP="00500C1B">
      <w:pPr>
        <w:spacing w:before="0" w:after="0"/>
        <w:rPr>
          <w:rFonts w:ascii="Arial" w:hAnsi="Arial"/>
          <w:sz w:val="22"/>
          <w:szCs w:val="22"/>
          <w:lang w:eastAsia="en-AU"/>
        </w:rPr>
      </w:pPr>
    </w:p>
    <w:p w14:paraId="39D090ED" w14:textId="77777777" w:rsidR="00A91FB5" w:rsidRDefault="00A91FB5" w:rsidP="00500C1B">
      <w:pPr>
        <w:spacing w:before="0" w:after="0"/>
        <w:rPr>
          <w:rFonts w:ascii="Arial" w:hAnsi="Arial"/>
          <w:sz w:val="22"/>
          <w:szCs w:val="22"/>
          <w:lang w:eastAsia="en-AU"/>
        </w:rPr>
      </w:pPr>
    </w:p>
    <w:p w14:paraId="766E3B34" w14:textId="77777777" w:rsidR="00A91FB5" w:rsidRDefault="00A91FB5" w:rsidP="00500C1B">
      <w:pPr>
        <w:spacing w:before="0" w:after="0"/>
        <w:rPr>
          <w:rFonts w:ascii="Arial" w:hAnsi="Arial"/>
          <w:sz w:val="22"/>
          <w:szCs w:val="22"/>
          <w:lang w:eastAsia="en-AU"/>
        </w:rPr>
      </w:pPr>
    </w:p>
    <w:p w14:paraId="0985D1E3" w14:textId="7DE23BBD" w:rsidR="00A91FB5" w:rsidRPr="00500C1B" w:rsidRDefault="00A91FB5" w:rsidP="00500C1B">
      <w:pPr>
        <w:spacing w:before="0" w:after="0"/>
        <w:rPr>
          <w:rFonts w:ascii="Arial" w:hAnsi="Arial"/>
          <w:sz w:val="22"/>
          <w:szCs w:val="22"/>
          <w:lang w:eastAsia="en-AU"/>
        </w:rPr>
        <w:sectPr w:rsidR="00A91FB5" w:rsidRPr="00500C1B" w:rsidSect="004266E2">
          <w:footerReference w:type="default" r:id="rId12"/>
          <w:headerReference w:type="first" r:id="rId13"/>
          <w:footerReference w:type="first" r:id="rId14"/>
          <w:type w:val="continuous"/>
          <w:pgSz w:w="11907" w:h="16840" w:code="9"/>
          <w:pgMar w:top="680" w:right="680" w:bottom="340" w:left="680" w:header="454" w:footer="340" w:gutter="0"/>
          <w:cols w:space="720"/>
          <w:formProt w:val="0"/>
          <w:noEndnote/>
          <w:titlePg/>
          <w:docGrid w:linePitch="272"/>
        </w:sectPr>
      </w:pPr>
    </w:p>
    <w:tbl>
      <w:tblPr>
        <w:tblStyle w:val="TableGrid"/>
        <w:tblW w:w="10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270"/>
        <w:gridCol w:w="5271"/>
      </w:tblGrid>
      <w:tr w:rsidR="00500C1B" w:rsidRPr="00500C1B" w14:paraId="2B4F85BF" w14:textId="77777777" w:rsidTr="00A91FB5">
        <w:tc>
          <w:tcPr>
            <w:tcW w:w="10541" w:type="dxa"/>
            <w:gridSpan w:val="2"/>
            <w:tcMar>
              <w:top w:w="170" w:type="dxa"/>
              <w:bottom w:w="0" w:type="dxa"/>
            </w:tcMar>
            <w:vAlign w:val="bottom"/>
          </w:tcPr>
          <w:p w14:paraId="67B1CE98" w14:textId="368AAB65" w:rsidR="00500C1B" w:rsidRPr="0059651F" w:rsidRDefault="000E2600" w:rsidP="0059651F">
            <w:pPr>
              <w:spacing w:before="0" w:after="40"/>
              <w:rPr>
                <w:rFonts w:ascii="Arial" w:hAnsi="Arial"/>
                <w:spacing w:val="-4"/>
                <w:sz w:val="12"/>
                <w:szCs w:val="14"/>
              </w:rPr>
            </w:pPr>
            <w:r w:rsidRPr="00CB5B74">
              <w:rPr>
                <w:b/>
                <w:bCs/>
                <w:sz w:val="16"/>
                <w:szCs w:val="20"/>
              </w:rPr>
              <w:t>Important information</w:t>
            </w:r>
            <w:r w:rsidRPr="00CB5B74">
              <w:rPr>
                <w:sz w:val="16"/>
                <w:szCs w:val="20"/>
              </w:rPr>
              <w:br/>
            </w:r>
            <w:r w:rsidRPr="00364D56">
              <w:rPr>
                <w:sz w:val="14"/>
                <w:szCs w:val="18"/>
              </w:rPr>
              <w:t xml:space="preserve">This document has been prepared by Count Financial Limited ABN 19 001 974 625, AFSL 227232. Count Financial is 85% owned by Count Limited ACN 126 990 832 (Count and 15% owned by Count Member Firm Pty Ltd ACN 633 983 490. Count is listed on the Australian Stock Exchange. Count Member Firm Pty Ltd is owned by Count Member Firm DT Pty Ltd ACN 633 956 073 which holds the assets under a discretionary trust for certain beneficiaries including potentially some corporate authorised representatives of Count Financial Ltd. Count advisers are authorised representatives of Count. Information in this document is based on current regulatory requirements and laws, as </w:t>
            </w:r>
            <w:proofErr w:type="gramStart"/>
            <w:r w:rsidRPr="00364D56">
              <w:rPr>
                <w:sz w:val="14"/>
                <w:szCs w:val="18"/>
              </w:rPr>
              <w:t>at</w:t>
            </w:r>
            <w:proofErr w:type="gramEnd"/>
            <w:r w:rsidRPr="00364D56">
              <w:rPr>
                <w:sz w:val="14"/>
                <w:szCs w:val="18"/>
              </w:rPr>
              <w:t xml:space="preserve"> 20 March 2023, which may be subject to change. While care has been taken in the preparation of this document, no liability is accepted by Count, its related entities, agents and employees for any loss arising from reliance on this document. This document contains general advice. It does not take account of your individual objectives, financial situation or needs. You should consider talking to a financial adviser before making a financial decision. Count is registered with the Tax Practitioners Board as a Registered Tax (Financial) Adviser. However, your authorised representative may not be a Registered Tax Agent. Consequently, tax considerations are general in nature and do not include an assessment of your overall tax position. You should seek tax advice from a Registered Tax Agent. Should you wish to opt out of receiving direct marketing material from your adviser, please notify your adviser by email, phone or in writing.</w:t>
            </w:r>
          </w:p>
        </w:tc>
      </w:tr>
      <w:tr w:rsidR="00500C1B" w:rsidRPr="00500C1B" w14:paraId="1F88AEA3" w14:textId="77777777" w:rsidTr="00A91FB5">
        <w:tc>
          <w:tcPr>
            <w:tcW w:w="5270" w:type="dxa"/>
            <w:tcMar>
              <w:top w:w="170" w:type="dxa"/>
              <w:bottom w:w="0" w:type="dxa"/>
            </w:tcMar>
            <w:vAlign w:val="bottom"/>
          </w:tcPr>
          <w:p w14:paraId="24CAB2C6" w14:textId="2C60E47D" w:rsidR="00500C1B" w:rsidRPr="00500C1B" w:rsidRDefault="00F960E0" w:rsidP="00500C1B">
            <w:pPr>
              <w:spacing w:before="0" w:after="0"/>
              <w:rPr>
                <w:rFonts w:ascii="Arial" w:hAnsi="Arial"/>
                <w:b/>
                <w:spacing w:val="-4"/>
                <w:sz w:val="14"/>
                <w:szCs w:val="14"/>
              </w:rPr>
            </w:pPr>
            <w:sdt>
              <w:sdtPr>
                <w:rPr>
                  <w:rFonts w:ascii="Arial" w:hAnsi="Arial"/>
                  <w:b/>
                  <w:spacing w:val="-4"/>
                  <w:sz w:val="14"/>
                  <w:szCs w:val="14"/>
                </w:rPr>
                <w:alias w:val="Insert practice logo"/>
                <w:tag w:val="Insert practice logo"/>
                <w:id w:val="1677468425"/>
                <w:showingPlcHdr/>
                <w:picture/>
              </w:sdtPr>
              <w:sdtEndPr/>
              <w:sdtContent>
                <w:r w:rsidR="00A91FB5" w:rsidRPr="00500C1B">
                  <w:rPr>
                    <w:rFonts w:ascii="Arial" w:hAnsi="Arial"/>
                    <w:b/>
                    <w:noProof/>
                    <w:spacing w:val="-4"/>
                    <w:sz w:val="14"/>
                    <w:szCs w:val="14"/>
                  </w:rPr>
                  <w:drawing>
                    <wp:inline distT="0" distB="0" distL="0" distR="0" wp14:anchorId="1C2A4B21" wp14:editId="1D9101EA">
                      <wp:extent cx="1692000" cy="504000"/>
                      <wp:effectExtent l="0" t="0" r="381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92000" cy="504000"/>
                              </a:xfrm>
                              <a:prstGeom prst="rect">
                                <a:avLst/>
                              </a:prstGeom>
                              <a:noFill/>
                              <a:ln>
                                <a:noFill/>
                              </a:ln>
                            </pic:spPr>
                          </pic:pic>
                        </a:graphicData>
                      </a:graphic>
                    </wp:inline>
                  </w:drawing>
                </w:r>
              </w:sdtContent>
            </w:sdt>
          </w:p>
        </w:tc>
        <w:tc>
          <w:tcPr>
            <w:tcW w:w="5271" w:type="dxa"/>
            <w:vAlign w:val="bottom"/>
          </w:tcPr>
          <w:p w14:paraId="0F392D39" w14:textId="0EBAC99D" w:rsidR="00500C1B" w:rsidRPr="00500C1B" w:rsidRDefault="00500C1B" w:rsidP="00500C1B">
            <w:pPr>
              <w:spacing w:before="0" w:after="0"/>
              <w:jc w:val="right"/>
              <w:rPr>
                <w:rFonts w:ascii="Arial" w:hAnsi="Arial"/>
                <w:b/>
                <w:spacing w:val="-4"/>
                <w:sz w:val="14"/>
                <w:szCs w:val="14"/>
              </w:rPr>
            </w:pPr>
          </w:p>
        </w:tc>
      </w:tr>
    </w:tbl>
    <w:p w14:paraId="59A06F44" w14:textId="77777777" w:rsidR="00500C1B" w:rsidRPr="00500C1B" w:rsidRDefault="00500C1B" w:rsidP="00500C1B">
      <w:pPr>
        <w:spacing w:before="0" w:after="0"/>
        <w:rPr>
          <w:rFonts w:ascii="Arial" w:hAnsi="Arial"/>
          <w:sz w:val="2"/>
          <w:szCs w:val="2"/>
        </w:rPr>
      </w:pPr>
    </w:p>
    <w:p w14:paraId="7AD96B8D" w14:textId="77777777" w:rsidR="00FB2A81" w:rsidRPr="0086264A" w:rsidRDefault="00FB2A81" w:rsidP="0086264A">
      <w:pPr>
        <w:spacing w:before="0" w:after="0"/>
        <w:rPr>
          <w:sz w:val="2"/>
          <w:szCs w:val="2"/>
        </w:rPr>
      </w:pPr>
    </w:p>
    <w:sectPr w:rsidR="00FB2A81" w:rsidRPr="0086264A" w:rsidSect="004266E2">
      <w:footerReference w:type="default" r:id="rId16"/>
      <w:headerReference w:type="first" r:id="rId17"/>
      <w:footerReference w:type="first" r:id="rId18"/>
      <w:type w:val="continuous"/>
      <w:pgSz w:w="11907" w:h="16840" w:code="9"/>
      <w:pgMar w:top="680" w:right="680" w:bottom="340" w:left="680" w:header="454" w:footer="34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40B63B" w14:textId="77777777" w:rsidR="004D5737" w:rsidRDefault="004D5737" w:rsidP="00140398">
      <w:r>
        <w:separator/>
      </w:r>
    </w:p>
  </w:endnote>
  <w:endnote w:type="continuationSeparator" w:id="0">
    <w:p w14:paraId="5FB61EB1" w14:textId="77777777" w:rsidR="004D5737" w:rsidRDefault="004D5737" w:rsidP="00140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angal">
    <w:altName w:val="Nirmala UI"/>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82A8C" w14:textId="77777777" w:rsidR="00500C1B" w:rsidRPr="007C76D3" w:rsidRDefault="00500C1B" w:rsidP="007C7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1869B" w14:textId="77777777" w:rsidR="00500C1B" w:rsidRPr="00183019" w:rsidRDefault="00500C1B" w:rsidP="00183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F7A3" w14:textId="77777777" w:rsidR="007D6B21" w:rsidRPr="007C76D3" w:rsidRDefault="007D6B21" w:rsidP="007C76D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F4B81" w14:textId="77777777" w:rsidR="00422BD8" w:rsidRPr="00183019" w:rsidRDefault="00422BD8" w:rsidP="00183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31CA9B" w14:textId="77777777" w:rsidR="004D5737" w:rsidRDefault="004D5737" w:rsidP="002444B6">
      <w:pPr>
        <w:spacing w:before="0" w:after="0"/>
      </w:pPr>
      <w:r>
        <w:separator/>
      </w:r>
    </w:p>
  </w:footnote>
  <w:footnote w:type="continuationSeparator" w:id="0">
    <w:p w14:paraId="0D7CA2B7" w14:textId="77777777" w:rsidR="004D5737" w:rsidRDefault="004D5737" w:rsidP="00140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1F1" w14:textId="7A99777F" w:rsidR="005912B6" w:rsidRDefault="00F960E0">
    <w:pPr>
      <w:pStyle w:val="Header"/>
    </w:pPr>
    <w:r>
      <w:rPr>
        <w:noProof/>
      </w:rPr>
      <w:drawing>
        <wp:anchor distT="0" distB="0" distL="114300" distR="114300" simplePos="0" relativeHeight="251658240" behindDoc="0" locked="0" layoutInCell="1" allowOverlap="1" wp14:anchorId="485618DF" wp14:editId="0462C264">
          <wp:simplePos x="0" y="0"/>
          <wp:positionH relativeFrom="column">
            <wp:posOffset>-431801</wp:posOffset>
          </wp:positionH>
          <wp:positionV relativeFrom="paragraph">
            <wp:posOffset>-288290</wp:posOffset>
          </wp:positionV>
          <wp:extent cx="7534275" cy="1650869"/>
          <wp:effectExtent l="0" t="0" r="0" b="6985"/>
          <wp:wrapNone/>
          <wp:docPr id="370278045"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278045" name="Picture 1" descr="A close-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4225" cy="16552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91EF7" w14:textId="77777777" w:rsidR="00500C1B" w:rsidRPr="00587074" w:rsidRDefault="00500C1B" w:rsidP="005870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06D13" w14:textId="77777777" w:rsidR="00F960E0" w:rsidRPr="00587074" w:rsidRDefault="00F960E0" w:rsidP="005870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5CCC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C8C82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ADC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FC843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85B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B2C6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9A50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B0AD9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8259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CAEC4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C4088"/>
    <w:multiLevelType w:val="hybridMultilevel"/>
    <w:tmpl w:val="D62283B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2523DE8"/>
    <w:multiLevelType w:val="hybridMultilevel"/>
    <w:tmpl w:val="4B06AE7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2A63B73"/>
    <w:multiLevelType w:val="hybridMultilevel"/>
    <w:tmpl w:val="F418EC76"/>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04AC5D21"/>
    <w:multiLevelType w:val="hybridMultilevel"/>
    <w:tmpl w:val="F63614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0E1F7651"/>
    <w:multiLevelType w:val="hybridMultilevel"/>
    <w:tmpl w:val="4A06535E"/>
    <w:lvl w:ilvl="0" w:tplc="18ACBC82">
      <w:start w:val="1"/>
      <w:numFmt w:val="bullet"/>
      <w:lvlText w:val="▪"/>
      <w:lvlJc w:val="left"/>
      <w:pPr>
        <w:tabs>
          <w:tab w:val="num" w:pos="643"/>
        </w:tabs>
        <w:ind w:left="643"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0EB03668"/>
    <w:multiLevelType w:val="hybridMultilevel"/>
    <w:tmpl w:val="07408C6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611349E"/>
    <w:multiLevelType w:val="hybridMultilevel"/>
    <w:tmpl w:val="A1EE9138"/>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8D90160"/>
    <w:multiLevelType w:val="hybridMultilevel"/>
    <w:tmpl w:val="C10EC3B0"/>
    <w:lvl w:ilvl="0" w:tplc="EE5AA030">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1AF71D2C"/>
    <w:multiLevelType w:val="hybridMultilevel"/>
    <w:tmpl w:val="8CC0447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1FE46AE"/>
    <w:multiLevelType w:val="hybridMultilevel"/>
    <w:tmpl w:val="A376854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3604FF2"/>
    <w:multiLevelType w:val="hybridMultilevel"/>
    <w:tmpl w:val="80FCCAF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260F4968"/>
    <w:multiLevelType w:val="hybridMultilevel"/>
    <w:tmpl w:val="B23E9CF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2A872E4F"/>
    <w:multiLevelType w:val="hybridMultilevel"/>
    <w:tmpl w:val="7BD62E14"/>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2104D48"/>
    <w:multiLevelType w:val="hybridMultilevel"/>
    <w:tmpl w:val="00D67440"/>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25F360D"/>
    <w:multiLevelType w:val="hybridMultilevel"/>
    <w:tmpl w:val="A3EE86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CC507B"/>
    <w:multiLevelType w:val="multilevel"/>
    <w:tmpl w:val="599C3906"/>
    <w:lvl w:ilvl="0">
      <w:start w:val="1"/>
      <w:numFmt w:val="bullet"/>
      <w:lvlText w:val=""/>
      <w:lvlJc w:val="left"/>
      <w:pPr>
        <w:tabs>
          <w:tab w:val="num" w:pos="357"/>
        </w:tabs>
        <w:ind w:left="357" w:hanging="357"/>
      </w:pPr>
      <w:rPr>
        <w:rFonts w:ascii="Symbol" w:hAnsi="Symbol" w:hint="default"/>
        <w:sz w:val="16"/>
      </w:rPr>
    </w:lvl>
    <w:lvl w:ilvl="1">
      <w:start w:val="1"/>
      <w:numFmt w:val="bullet"/>
      <w:lvlText w:val=""/>
      <w:lvlJc w:val="left"/>
      <w:pPr>
        <w:tabs>
          <w:tab w:val="num" w:pos="357"/>
        </w:tabs>
        <w:ind w:left="1077" w:hanging="357"/>
      </w:pPr>
      <w:rPr>
        <w:rFonts w:ascii="Symbol" w:hAnsi="Symbol" w:hint="default"/>
        <w:sz w:val="16"/>
      </w:rPr>
    </w:lvl>
    <w:lvl w:ilvl="2">
      <w:start w:val="1"/>
      <w:numFmt w:val="bullet"/>
      <w:lvlRestart w:val="0"/>
      <w:lvlText w:val=""/>
      <w:lvlJc w:val="left"/>
      <w:pPr>
        <w:tabs>
          <w:tab w:val="num" w:pos="1872"/>
        </w:tabs>
        <w:ind w:left="1872" w:hanging="432"/>
      </w:pPr>
      <w:rPr>
        <w:rFonts w:ascii="Symbol" w:hAnsi="Symbol" w:hint="default"/>
        <w:sz w:val="16"/>
      </w:rPr>
    </w:lvl>
    <w:lvl w:ilvl="3">
      <w:start w:val="1"/>
      <w:numFmt w:val="bullet"/>
      <w:lvlRestart w:val="0"/>
      <w:lvlText w:val=""/>
      <w:lvlJc w:val="left"/>
      <w:pPr>
        <w:tabs>
          <w:tab w:val="num" w:pos="2592"/>
        </w:tabs>
        <w:ind w:left="2592" w:hanging="432"/>
      </w:pPr>
      <w:rPr>
        <w:rFonts w:ascii="Symbol" w:hAnsi="Symbol" w:hint="default"/>
        <w:sz w:val="16"/>
      </w:rPr>
    </w:lvl>
    <w:lvl w:ilvl="4">
      <w:start w:val="1"/>
      <w:numFmt w:val="bullet"/>
      <w:lvlText w:val=""/>
      <w:lvlJc w:val="left"/>
      <w:pPr>
        <w:tabs>
          <w:tab w:val="num" w:pos="425"/>
        </w:tabs>
        <w:ind w:left="425" w:hanging="720"/>
      </w:pPr>
      <w:rPr>
        <w:rFonts w:ascii="Symbol" w:hAnsi="Symbol" w:hint="default"/>
        <w:sz w:val="20"/>
      </w:rPr>
    </w:lvl>
    <w:lvl w:ilvl="5">
      <w:start w:val="1"/>
      <w:numFmt w:val="bullet"/>
      <w:lvlText w:val=""/>
      <w:lvlJc w:val="left"/>
      <w:pPr>
        <w:tabs>
          <w:tab w:val="num" w:pos="425"/>
        </w:tabs>
        <w:ind w:left="425" w:hanging="720"/>
      </w:pPr>
      <w:rPr>
        <w:rFonts w:ascii="Symbol" w:hAnsi="Symbol" w:hint="default"/>
        <w:sz w:val="10"/>
      </w:rPr>
    </w:lvl>
    <w:lvl w:ilvl="6">
      <w:start w:val="1"/>
      <w:numFmt w:val="bullet"/>
      <w:lvlText w:val=""/>
      <w:lvlJc w:val="left"/>
      <w:pPr>
        <w:tabs>
          <w:tab w:val="num" w:pos="65"/>
        </w:tabs>
        <w:ind w:left="65" w:hanging="360"/>
      </w:pPr>
      <w:rPr>
        <w:rFonts w:ascii="Wingdings" w:hAnsi="Wingdings" w:hint="default"/>
      </w:rPr>
    </w:lvl>
    <w:lvl w:ilvl="7">
      <w:start w:val="1"/>
      <w:numFmt w:val="bullet"/>
      <w:lvlText w:val=""/>
      <w:lvlJc w:val="left"/>
      <w:pPr>
        <w:tabs>
          <w:tab w:val="num" w:pos="425"/>
        </w:tabs>
        <w:ind w:left="425" w:hanging="360"/>
      </w:pPr>
      <w:rPr>
        <w:rFonts w:ascii="Symbol" w:hAnsi="Symbol" w:hint="default"/>
      </w:rPr>
    </w:lvl>
    <w:lvl w:ilvl="8">
      <w:start w:val="1"/>
      <w:numFmt w:val="bullet"/>
      <w:lvlText w:val=""/>
      <w:lvlJc w:val="left"/>
      <w:pPr>
        <w:tabs>
          <w:tab w:val="num" w:pos="785"/>
        </w:tabs>
        <w:ind w:left="785" w:hanging="360"/>
      </w:pPr>
      <w:rPr>
        <w:rFonts w:ascii="Symbol" w:hAnsi="Symbol" w:hint="default"/>
      </w:rPr>
    </w:lvl>
  </w:abstractNum>
  <w:abstractNum w:abstractNumId="26" w15:restartNumberingAfterBreak="0">
    <w:nsid w:val="387E78A6"/>
    <w:multiLevelType w:val="hybridMultilevel"/>
    <w:tmpl w:val="7D0CBD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D5B7DBE"/>
    <w:multiLevelType w:val="hybridMultilevel"/>
    <w:tmpl w:val="82487E0A"/>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FA54D6D"/>
    <w:multiLevelType w:val="hybridMultilevel"/>
    <w:tmpl w:val="4768CDB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0862348"/>
    <w:multiLevelType w:val="hybridMultilevel"/>
    <w:tmpl w:val="FE1AB86C"/>
    <w:lvl w:ilvl="0" w:tplc="8A1AA2AE">
      <w:start w:val="1"/>
      <w:numFmt w:val="bullet"/>
      <w:lvlText w:val=""/>
      <w:lvlJc w:val="left"/>
      <w:pPr>
        <w:tabs>
          <w:tab w:val="num" w:pos="360"/>
        </w:tabs>
        <w:ind w:left="360" w:hanging="360"/>
      </w:pPr>
      <w:rPr>
        <w:rFonts w:ascii="Symbol" w:hAnsi="Symbol" w:hint="default"/>
      </w:rPr>
    </w:lvl>
    <w:lvl w:ilvl="1" w:tplc="3C8639F2">
      <w:start w:val="8"/>
      <w:numFmt w:val="bullet"/>
      <w:lvlText w:val="-"/>
      <w:lvlJc w:val="left"/>
      <w:pPr>
        <w:tabs>
          <w:tab w:val="num" w:pos="1080"/>
        </w:tabs>
        <w:ind w:left="1080" w:hanging="360"/>
      </w:pPr>
      <w:rPr>
        <w:rFonts w:ascii="Verdana" w:eastAsia="Times New Roman" w:hAnsi="Verdana" w:cs="Times New Roman"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Verdana"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Verdana"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28B04B9"/>
    <w:multiLevelType w:val="hybridMultilevel"/>
    <w:tmpl w:val="B31815E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A804693"/>
    <w:multiLevelType w:val="hybridMultilevel"/>
    <w:tmpl w:val="78C822DA"/>
    <w:lvl w:ilvl="0" w:tplc="DC00972A">
      <w:start w:val="1"/>
      <w:numFmt w:val="bullet"/>
      <w:lvlText w:val=""/>
      <w:lvlJc w:val="left"/>
      <w:pPr>
        <w:ind w:left="720" w:hanging="360"/>
      </w:pPr>
      <w:rPr>
        <w:rFonts w:ascii="Symbol" w:hAnsi="Symbol" w:hint="default"/>
        <w:color w:val="009ED7"/>
        <w:u w:color="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B413978"/>
    <w:multiLevelType w:val="hybridMultilevel"/>
    <w:tmpl w:val="344CB26E"/>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4E920481"/>
    <w:multiLevelType w:val="hybridMultilevel"/>
    <w:tmpl w:val="DBE0AB46"/>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018708F"/>
    <w:multiLevelType w:val="multilevel"/>
    <w:tmpl w:val="96D4ECC8"/>
    <w:lvl w:ilvl="0">
      <w:start w:val="1"/>
      <w:numFmt w:val="bullet"/>
      <w:pStyle w:val="ListBullet"/>
      <w:lvlText w:val="■"/>
      <w:lvlJc w:val="left"/>
      <w:pPr>
        <w:tabs>
          <w:tab w:val="num" w:pos="360"/>
        </w:tabs>
        <w:ind w:left="360" w:hanging="360"/>
      </w:pPr>
      <w:rPr>
        <w:rFonts w:ascii="Arial" w:hAnsi="Arial" w:hint="default"/>
      </w:rPr>
    </w:lvl>
    <w:lvl w:ilvl="1">
      <w:start w:val="1"/>
      <w:numFmt w:val="bullet"/>
      <w:pStyle w:val="ListBullet2"/>
      <w:lvlText w:val="▪"/>
      <w:lvlJc w:val="left"/>
      <w:pPr>
        <w:ind w:left="714" w:hanging="357"/>
      </w:pPr>
      <w:rPr>
        <w:rFonts w:ascii="Arial"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076021A"/>
    <w:multiLevelType w:val="hybridMultilevel"/>
    <w:tmpl w:val="B14C5EF4"/>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51031597"/>
    <w:multiLevelType w:val="hybridMultilevel"/>
    <w:tmpl w:val="7E0E3ED8"/>
    <w:lvl w:ilvl="0" w:tplc="74A20696">
      <w:start w:val="1"/>
      <w:numFmt w:val="bullet"/>
      <w:lvlText w:val=""/>
      <w:lvlJc w:val="left"/>
      <w:pPr>
        <w:tabs>
          <w:tab w:val="num" w:pos="360"/>
        </w:tabs>
        <w:ind w:left="360" w:hanging="360"/>
      </w:pPr>
      <w:rPr>
        <w:rFonts w:ascii="Symbol" w:hAnsi="Symbol" w:hint="default"/>
        <w:color w:val="026EB5"/>
      </w:rPr>
    </w:lvl>
    <w:lvl w:ilvl="1" w:tplc="04090003" w:tentative="1">
      <w:start w:val="1"/>
      <w:numFmt w:val="bullet"/>
      <w:lvlText w:val="o"/>
      <w:lvlJc w:val="left"/>
      <w:pPr>
        <w:tabs>
          <w:tab w:val="num" w:pos="1440"/>
        </w:tabs>
        <w:ind w:left="1440" w:hanging="360"/>
      </w:pPr>
      <w:rPr>
        <w:rFonts w:ascii="Courier New" w:hAnsi="Courier New" w:cs="Verdana"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dana"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dana"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7E66896"/>
    <w:multiLevelType w:val="hybridMultilevel"/>
    <w:tmpl w:val="391C54D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E7C0C53"/>
    <w:multiLevelType w:val="hybridMultilevel"/>
    <w:tmpl w:val="19B2037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A832DF"/>
    <w:multiLevelType w:val="hybridMultilevel"/>
    <w:tmpl w:val="9D7E8906"/>
    <w:lvl w:ilvl="0" w:tplc="DC00972A">
      <w:start w:val="1"/>
      <w:numFmt w:val="bullet"/>
      <w:lvlText w:val=""/>
      <w:lvlJc w:val="left"/>
      <w:pPr>
        <w:ind w:left="360" w:hanging="360"/>
      </w:pPr>
      <w:rPr>
        <w:rFonts w:ascii="Symbol" w:hAnsi="Symbol" w:hint="default"/>
        <w:color w:val="009ED7"/>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0" w15:restartNumberingAfterBreak="0">
    <w:nsid w:val="709D0953"/>
    <w:multiLevelType w:val="hybridMultilevel"/>
    <w:tmpl w:val="CC08FE5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5657BA3"/>
    <w:multiLevelType w:val="hybridMultilevel"/>
    <w:tmpl w:val="E8942614"/>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5B61C95"/>
    <w:multiLevelType w:val="hybridMultilevel"/>
    <w:tmpl w:val="5AEA3CBC"/>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6660856"/>
    <w:multiLevelType w:val="hybridMultilevel"/>
    <w:tmpl w:val="EACE6E42"/>
    <w:lvl w:ilvl="0" w:tplc="E5A8D99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EAB4AFB"/>
    <w:multiLevelType w:val="hybridMultilevel"/>
    <w:tmpl w:val="CF86E17A"/>
    <w:lvl w:ilvl="0" w:tplc="DC00972A">
      <w:start w:val="1"/>
      <w:numFmt w:val="bullet"/>
      <w:lvlText w:val=""/>
      <w:lvlJc w:val="left"/>
      <w:pPr>
        <w:ind w:left="360" w:hanging="360"/>
      </w:pPr>
      <w:rPr>
        <w:rFonts w:ascii="Symbol" w:hAnsi="Symbol" w:hint="default"/>
        <w:color w:val="009ED7"/>
        <w:u w:color="00000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1978757071">
    <w:abstractNumId w:val="17"/>
  </w:num>
  <w:num w:numId="2" w16cid:durableId="1111558044">
    <w:abstractNumId w:val="29"/>
  </w:num>
  <w:num w:numId="3" w16cid:durableId="1797217119">
    <w:abstractNumId w:val="25"/>
  </w:num>
  <w:num w:numId="4" w16cid:durableId="1269465066">
    <w:abstractNumId w:val="36"/>
  </w:num>
  <w:num w:numId="5" w16cid:durableId="1517230476">
    <w:abstractNumId w:val="33"/>
  </w:num>
  <w:num w:numId="6" w16cid:durableId="543251853">
    <w:abstractNumId w:val="28"/>
  </w:num>
  <w:num w:numId="7" w16cid:durableId="896628885">
    <w:abstractNumId w:val="26"/>
  </w:num>
  <w:num w:numId="8" w16cid:durableId="513571689">
    <w:abstractNumId w:val="16"/>
  </w:num>
  <w:num w:numId="9" w16cid:durableId="1643002175">
    <w:abstractNumId w:val="24"/>
  </w:num>
  <w:num w:numId="10" w16cid:durableId="1894001752">
    <w:abstractNumId w:val="22"/>
  </w:num>
  <w:num w:numId="11" w16cid:durableId="429277755">
    <w:abstractNumId w:val="12"/>
  </w:num>
  <w:num w:numId="12" w16cid:durableId="466162320">
    <w:abstractNumId w:val="44"/>
  </w:num>
  <w:num w:numId="13" w16cid:durableId="370812472">
    <w:abstractNumId w:val="41"/>
  </w:num>
  <w:num w:numId="14" w16cid:durableId="498886756">
    <w:abstractNumId w:val="32"/>
  </w:num>
  <w:num w:numId="15" w16cid:durableId="647901190">
    <w:abstractNumId w:val="31"/>
  </w:num>
  <w:num w:numId="16" w16cid:durableId="176896067">
    <w:abstractNumId w:val="10"/>
  </w:num>
  <w:num w:numId="17" w16cid:durableId="464591683">
    <w:abstractNumId w:val="39"/>
  </w:num>
  <w:num w:numId="18" w16cid:durableId="1950315153">
    <w:abstractNumId w:val="35"/>
  </w:num>
  <w:num w:numId="19" w16cid:durableId="1215700487">
    <w:abstractNumId w:val="9"/>
  </w:num>
  <w:num w:numId="20" w16cid:durableId="1850102755">
    <w:abstractNumId w:val="7"/>
  </w:num>
  <w:num w:numId="21" w16cid:durableId="153765957">
    <w:abstractNumId w:val="6"/>
  </w:num>
  <w:num w:numId="22" w16cid:durableId="126750984">
    <w:abstractNumId w:val="5"/>
  </w:num>
  <w:num w:numId="23" w16cid:durableId="1220165590">
    <w:abstractNumId w:val="4"/>
  </w:num>
  <w:num w:numId="24" w16cid:durableId="1445342620">
    <w:abstractNumId w:val="8"/>
  </w:num>
  <w:num w:numId="25" w16cid:durableId="1254969106">
    <w:abstractNumId w:val="3"/>
  </w:num>
  <w:num w:numId="26" w16cid:durableId="807434990">
    <w:abstractNumId w:val="2"/>
  </w:num>
  <w:num w:numId="27" w16cid:durableId="2006938547">
    <w:abstractNumId w:val="1"/>
  </w:num>
  <w:num w:numId="28" w16cid:durableId="334769148">
    <w:abstractNumId w:val="0"/>
  </w:num>
  <w:num w:numId="29" w16cid:durableId="1267158777">
    <w:abstractNumId w:val="23"/>
  </w:num>
  <w:num w:numId="30" w16cid:durableId="1437092182">
    <w:abstractNumId w:val="43"/>
  </w:num>
  <w:num w:numId="31" w16cid:durableId="101729412">
    <w:abstractNumId w:val="11"/>
  </w:num>
  <w:num w:numId="32" w16cid:durableId="188568592">
    <w:abstractNumId w:val="18"/>
  </w:num>
  <w:num w:numId="33" w16cid:durableId="165217698">
    <w:abstractNumId w:val="20"/>
  </w:num>
  <w:num w:numId="34" w16cid:durableId="598677700">
    <w:abstractNumId w:val="38"/>
  </w:num>
  <w:num w:numId="35" w16cid:durableId="2117286096">
    <w:abstractNumId w:val="42"/>
  </w:num>
  <w:num w:numId="36" w16cid:durableId="1264070651">
    <w:abstractNumId w:val="40"/>
  </w:num>
  <w:num w:numId="37" w16cid:durableId="1572740648">
    <w:abstractNumId w:val="15"/>
  </w:num>
  <w:num w:numId="38" w16cid:durableId="527068186">
    <w:abstractNumId w:val="37"/>
  </w:num>
  <w:num w:numId="39" w16cid:durableId="159737010">
    <w:abstractNumId w:val="19"/>
  </w:num>
  <w:num w:numId="40" w16cid:durableId="1893693097">
    <w:abstractNumId w:val="27"/>
  </w:num>
  <w:num w:numId="41" w16cid:durableId="849485481">
    <w:abstractNumId w:val="30"/>
  </w:num>
  <w:num w:numId="42" w16cid:durableId="2026638728">
    <w:abstractNumId w:val="13"/>
  </w:num>
  <w:num w:numId="43" w16cid:durableId="1297176694">
    <w:abstractNumId w:val="21"/>
  </w:num>
  <w:num w:numId="44" w16cid:durableId="252402174">
    <w:abstractNumId w:val="34"/>
  </w:num>
  <w:num w:numId="45" w16cid:durableId="1808358322">
    <w:abstractNumId w:val="14"/>
  </w:num>
  <w:num w:numId="46" w16cid:durableId="13904937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doNotShadeFormData/>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3364"/>
    <w:rsid w:val="0000476C"/>
    <w:rsid w:val="00010AAF"/>
    <w:rsid w:val="00020FFA"/>
    <w:rsid w:val="00021BF2"/>
    <w:rsid w:val="00023E8E"/>
    <w:rsid w:val="00025158"/>
    <w:rsid w:val="00032047"/>
    <w:rsid w:val="00033266"/>
    <w:rsid w:val="00034579"/>
    <w:rsid w:val="00034D53"/>
    <w:rsid w:val="00040707"/>
    <w:rsid w:val="000546C3"/>
    <w:rsid w:val="00055DAA"/>
    <w:rsid w:val="00063656"/>
    <w:rsid w:val="000704A0"/>
    <w:rsid w:val="00080473"/>
    <w:rsid w:val="000806B8"/>
    <w:rsid w:val="0008116B"/>
    <w:rsid w:val="00087863"/>
    <w:rsid w:val="00090757"/>
    <w:rsid w:val="0009189B"/>
    <w:rsid w:val="0009209A"/>
    <w:rsid w:val="000A0877"/>
    <w:rsid w:val="000A7BC2"/>
    <w:rsid w:val="000B056A"/>
    <w:rsid w:val="000B17B2"/>
    <w:rsid w:val="000B1ED7"/>
    <w:rsid w:val="000B719B"/>
    <w:rsid w:val="000C0D1B"/>
    <w:rsid w:val="000C3D34"/>
    <w:rsid w:val="000D0FA1"/>
    <w:rsid w:val="000E2600"/>
    <w:rsid w:val="000E5328"/>
    <w:rsid w:val="000F3918"/>
    <w:rsid w:val="000F7977"/>
    <w:rsid w:val="00111A30"/>
    <w:rsid w:val="00112AE2"/>
    <w:rsid w:val="00114701"/>
    <w:rsid w:val="0012279D"/>
    <w:rsid w:val="00124D1B"/>
    <w:rsid w:val="00125976"/>
    <w:rsid w:val="00126427"/>
    <w:rsid w:val="00126756"/>
    <w:rsid w:val="00130C52"/>
    <w:rsid w:val="00135865"/>
    <w:rsid w:val="00137685"/>
    <w:rsid w:val="00137A29"/>
    <w:rsid w:val="00140B29"/>
    <w:rsid w:val="00144627"/>
    <w:rsid w:val="00144E16"/>
    <w:rsid w:val="001536AE"/>
    <w:rsid w:val="001547D3"/>
    <w:rsid w:val="001553D0"/>
    <w:rsid w:val="001600B2"/>
    <w:rsid w:val="00170E36"/>
    <w:rsid w:val="0017105D"/>
    <w:rsid w:val="00175845"/>
    <w:rsid w:val="00182856"/>
    <w:rsid w:val="00183019"/>
    <w:rsid w:val="001840AC"/>
    <w:rsid w:val="00186BBE"/>
    <w:rsid w:val="00190791"/>
    <w:rsid w:val="001A1110"/>
    <w:rsid w:val="001A2563"/>
    <w:rsid w:val="001A3F7D"/>
    <w:rsid w:val="001A457D"/>
    <w:rsid w:val="001A7A97"/>
    <w:rsid w:val="001B53F1"/>
    <w:rsid w:val="001B6CB5"/>
    <w:rsid w:val="001C2001"/>
    <w:rsid w:val="001C4C78"/>
    <w:rsid w:val="001D1397"/>
    <w:rsid w:val="001D1A39"/>
    <w:rsid w:val="001D5EFD"/>
    <w:rsid w:val="001E2825"/>
    <w:rsid w:val="001E3E6E"/>
    <w:rsid w:val="001E4CAE"/>
    <w:rsid w:val="001F11F8"/>
    <w:rsid w:val="001F26EA"/>
    <w:rsid w:val="001F4560"/>
    <w:rsid w:val="001F47F8"/>
    <w:rsid w:val="0020079B"/>
    <w:rsid w:val="002028E9"/>
    <w:rsid w:val="00205F69"/>
    <w:rsid w:val="002073C8"/>
    <w:rsid w:val="00211478"/>
    <w:rsid w:val="002168A2"/>
    <w:rsid w:val="00220400"/>
    <w:rsid w:val="0022761F"/>
    <w:rsid w:val="0023155E"/>
    <w:rsid w:val="00234587"/>
    <w:rsid w:val="00236665"/>
    <w:rsid w:val="00237B26"/>
    <w:rsid w:val="002444B6"/>
    <w:rsid w:val="00250463"/>
    <w:rsid w:val="002614F9"/>
    <w:rsid w:val="00264C91"/>
    <w:rsid w:val="00265E88"/>
    <w:rsid w:val="00267237"/>
    <w:rsid w:val="00270154"/>
    <w:rsid w:val="00270CE9"/>
    <w:rsid w:val="0027101D"/>
    <w:rsid w:val="00271883"/>
    <w:rsid w:val="0027505A"/>
    <w:rsid w:val="0027625C"/>
    <w:rsid w:val="00276777"/>
    <w:rsid w:val="002812B6"/>
    <w:rsid w:val="00284C92"/>
    <w:rsid w:val="002857C5"/>
    <w:rsid w:val="00292EF3"/>
    <w:rsid w:val="002932A8"/>
    <w:rsid w:val="002B5D86"/>
    <w:rsid w:val="002C066F"/>
    <w:rsid w:val="002C515B"/>
    <w:rsid w:val="002D5CFC"/>
    <w:rsid w:val="002E420C"/>
    <w:rsid w:val="002E787D"/>
    <w:rsid w:val="0030009A"/>
    <w:rsid w:val="00301741"/>
    <w:rsid w:val="00302FE9"/>
    <w:rsid w:val="00304638"/>
    <w:rsid w:val="00304F36"/>
    <w:rsid w:val="00305B3A"/>
    <w:rsid w:val="00307AA6"/>
    <w:rsid w:val="003114F9"/>
    <w:rsid w:val="00312F9F"/>
    <w:rsid w:val="003130AE"/>
    <w:rsid w:val="00314FA1"/>
    <w:rsid w:val="003162E4"/>
    <w:rsid w:val="0032212A"/>
    <w:rsid w:val="00326422"/>
    <w:rsid w:val="00333E85"/>
    <w:rsid w:val="00347B15"/>
    <w:rsid w:val="00361A97"/>
    <w:rsid w:val="00364C60"/>
    <w:rsid w:val="00364D56"/>
    <w:rsid w:val="00364D77"/>
    <w:rsid w:val="0036552C"/>
    <w:rsid w:val="00366B9A"/>
    <w:rsid w:val="00382103"/>
    <w:rsid w:val="00386A3C"/>
    <w:rsid w:val="003A5C39"/>
    <w:rsid w:val="003A6D39"/>
    <w:rsid w:val="003B0F58"/>
    <w:rsid w:val="003B4540"/>
    <w:rsid w:val="003C46F1"/>
    <w:rsid w:val="003C7953"/>
    <w:rsid w:val="003D4918"/>
    <w:rsid w:val="003E273A"/>
    <w:rsid w:val="003E37D7"/>
    <w:rsid w:val="003E3894"/>
    <w:rsid w:val="003E48C8"/>
    <w:rsid w:val="003E7E34"/>
    <w:rsid w:val="003F27E8"/>
    <w:rsid w:val="003F37ED"/>
    <w:rsid w:val="003F5CA3"/>
    <w:rsid w:val="003F6CFC"/>
    <w:rsid w:val="003F6DAB"/>
    <w:rsid w:val="00400A59"/>
    <w:rsid w:val="00403353"/>
    <w:rsid w:val="0041165E"/>
    <w:rsid w:val="00414F87"/>
    <w:rsid w:val="00420F32"/>
    <w:rsid w:val="00421A24"/>
    <w:rsid w:val="00422BD8"/>
    <w:rsid w:val="00423ABE"/>
    <w:rsid w:val="0042572A"/>
    <w:rsid w:val="004266E2"/>
    <w:rsid w:val="00426D18"/>
    <w:rsid w:val="0043323C"/>
    <w:rsid w:val="004411E7"/>
    <w:rsid w:val="0044377A"/>
    <w:rsid w:val="00446B18"/>
    <w:rsid w:val="004549CA"/>
    <w:rsid w:val="00462F67"/>
    <w:rsid w:val="0046715A"/>
    <w:rsid w:val="00473E33"/>
    <w:rsid w:val="00482A89"/>
    <w:rsid w:val="004864E7"/>
    <w:rsid w:val="004867BE"/>
    <w:rsid w:val="00486E45"/>
    <w:rsid w:val="004922BA"/>
    <w:rsid w:val="004A05B6"/>
    <w:rsid w:val="004A0D5B"/>
    <w:rsid w:val="004A1819"/>
    <w:rsid w:val="004A3253"/>
    <w:rsid w:val="004A59D6"/>
    <w:rsid w:val="004B1E25"/>
    <w:rsid w:val="004B4A9B"/>
    <w:rsid w:val="004C2F98"/>
    <w:rsid w:val="004C7051"/>
    <w:rsid w:val="004D0110"/>
    <w:rsid w:val="004D32CC"/>
    <w:rsid w:val="004D36F4"/>
    <w:rsid w:val="004D5737"/>
    <w:rsid w:val="004E00A8"/>
    <w:rsid w:val="004E27E5"/>
    <w:rsid w:val="004F05BC"/>
    <w:rsid w:val="004F10FE"/>
    <w:rsid w:val="004F7048"/>
    <w:rsid w:val="00500BC5"/>
    <w:rsid w:val="00500C1B"/>
    <w:rsid w:val="0051072B"/>
    <w:rsid w:val="005165D8"/>
    <w:rsid w:val="005230C5"/>
    <w:rsid w:val="00531C92"/>
    <w:rsid w:val="00533984"/>
    <w:rsid w:val="00536ED9"/>
    <w:rsid w:val="005433D5"/>
    <w:rsid w:val="00543FF3"/>
    <w:rsid w:val="0055547C"/>
    <w:rsid w:val="0055755C"/>
    <w:rsid w:val="00560F74"/>
    <w:rsid w:val="00564126"/>
    <w:rsid w:val="005848FC"/>
    <w:rsid w:val="00584990"/>
    <w:rsid w:val="00587074"/>
    <w:rsid w:val="005912B6"/>
    <w:rsid w:val="005964A7"/>
    <w:rsid w:val="0059651F"/>
    <w:rsid w:val="005A021D"/>
    <w:rsid w:val="005A5415"/>
    <w:rsid w:val="005B5A14"/>
    <w:rsid w:val="005D5F8C"/>
    <w:rsid w:val="005E552C"/>
    <w:rsid w:val="005E75DD"/>
    <w:rsid w:val="005F0345"/>
    <w:rsid w:val="005F3BDC"/>
    <w:rsid w:val="005F7A39"/>
    <w:rsid w:val="00603C00"/>
    <w:rsid w:val="006107F1"/>
    <w:rsid w:val="00615036"/>
    <w:rsid w:val="006156AF"/>
    <w:rsid w:val="006246E1"/>
    <w:rsid w:val="00632270"/>
    <w:rsid w:val="00632278"/>
    <w:rsid w:val="006335C3"/>
    <w:rsid w:val="00636DD3"/>
    <w:rsid w:val="006374D8"/>
    <w:rsid w:val="00640521"/>
    <w:rsid w:val="006478A5"/>
    <w:rsid w:val="00654506"/>
    <w:rsid w:val="006548F5"/>
    <w:rsid w:val="00660A05"/>
    <w:rsid w:val="00660BAC"/>
    <w:rsid w:val="00661533"/>
    <w:rsid w:val="00665069"/>
    <w:rsid w:val="006706B8"/>
    <w:rsid w:val="00671D5E"/>
    <w:rsid w:val="00672227"/>
    <w:rsid w:val="0067588C"/>
    <w:rsid w:val="00677E64"/>
    <w:rsid w:val="00682ACD"/>
    <w:rsid w:val="00686F89"/>
    <w:rsid w:val="00687ACC"/>
    <w:rsid w:val="00691C58"/>
    <w:rsid w:val="00696A3A"/>
    <w:rsid w:val="006975B8"/>
    <w:rsid w:val="006A2169"/>
    <w:rsid w:val="006A4A07"/>
    <w:rsid w:val="006B2B49"/>
    <w:rsid w:val="006C0929"/>
    <w:rsid w:val="006C1F3F"/>
    <w:rsid w:val="006C4266"/>
    <w:rsid w:val="006C6496"/>
    <w:rsid w:val="006D3598"/>
    <w:rsid w:val="006D6542"/>
    <w:rsid w:val="006E068B"/>
    <w:rsid w:val="006E36E5"/>
    <w:rsid w:val="006E60F2"/>
    <w:rsid w:val="006E6F1C"/>
    <w:rsid w:val="006F2084"/>
    <w:rsid w:val="006F7A6F"/>
    <w:rsid w:val="006F7F12"/>
    <w:rsid w:val="00702643"/>
    <w:rsid w:val="007036BC"/>
    <w:rsid w:val="00706504"/>
    <w:rsid w:val="007070EB"/>
    <w:rsid w:val="007113F6"/>
    <w:rsid w:val="00714278"/>
    <w:rsid w:val="00716595"/>
    <w:rsid w:val="00721681"/>
    <w:rsid w:val="0072195D"/>
    <w:rsid w:val="00722A9F"/>
    <w:rsid w:val="00735466"/>
    <w:rsid w:val="00735C95"/>
    <w:rsid w:val="007360EA"/>
    <w:rsid w:val="0073732B"/>
    <w:rsid w:val="00737687"/>
    <w:rsid w:val="00745A43"/>
    <w:rsid w:val="00745E41"/>
    <w:rsid w:val="00746DFF"/>
    <w:rsid w:val="0075037B"/>
    <w:rsid w:val="007550CD"/>
    <w:rsid w:val="00761AB7"/>
    <w:rsid w:val="0076249F"/>
    <w:rsid w:val="00762A2F"/>
    <w:rsid w:val="0076313B"/>
    <w:rsid w:val="00765810"/>
    <w:rsid w:val="007759DC"/>
    <w:rsid w:val="00775A58"/>
    <w:rsid w:val="0078383A"/>
    <w:rsid w:val="00783D34"/>
    <w:rsid w:val="00790E71"/>
    <w:rsid w:val="0079214A"/>
    <w:rsid w:val="00792FDC"/>
    <w:rsid w:val="00793785"/>
    <w:rsid w:val="00793A00"/>
    <w:rsid w:val="007A1644"/>
    <w:rsid w:val="007A32D4"/>
    <w:rsid w:val="007A3A07"/>
    <w:rsid w:val="007B4DEF"/>
    <w:rsid w:val="007C4C41"/>
    <w:rsid w:val="007C76D3"/>
    <w:rsid w:val="007D0D3E"/>
    <w:rsid w:val="007D615D"/>
    <w:rsid w:val="007D64FE"/>
    <w:rsid w:val="007D6B21"/>
    <w:rsid w:val="007E7360"/>
    <w:rsid w:val="007F7C35"/>
    <w:rsid w:val="0082438A"/>
    <w:rsid w:val="00825186"/>
    <w:rsid w:val="008269BB"/>
    <w:rsid w:val="0083062B"/>
    <w:rsid w:val="0083154E"/>
    <w:rsid w:val="00832DC5"/>
    <w:rsid w:val="00844E24"/>
    <w:rsid w:val="00846321"/>
    <w:rsid w:val="008528DD"/>
    <w:rsid w:val="00854E1D"/>
    <w:rsid w:val="00856ECF"/>
    <w:rsid w:val="00857AC3"/>
    <w:rsid w:val="0086264A"/>
    <w:rsid w:val="00862B44"/>
    <w:rsid w:val="00863866"/>
    <w:rsid w:val="008647BD"/>
    <w:rsid w:val="00864A56"/>
    <w:rsid w:val="0086544F"/>
    <w:rsid w:val="00867DBB"/>
    <w:rsid w:val="008711BE"/>
    <w:rsid w:val="008768CF"/>
    <w:rsid w:val="00877A6A"/>
    <w:rsid w:val="008860F6"/>
    <w:rsid w:val="008879F0"/>
    <w:rsid w:val="00893F6E"/>
    <w:rsid w:val="00897341"/>
    <w:rsid w:val="008A0507"/>
    <w:rsid w:val="008A1519"/>
    <w:rsid w:val="008A4420"/>
    <w:rsid w:val="008A4BD9"/>
    <w:rsid w:val="008A5CFE"/>
    <w:rsid w:val="008A5D59"/>
    <w:rsid w:val="008B4961"/>
    <w:rsid w:val="008C0B43"/>
    <w:rsid w:val="008C13D1"/>
    <w:rsid w:val="008C1F3F"/>
    <w:rsid w:val="008C27AE"/>
    <w:rsid w:val="008C3741"/>
    <w:rsid w:val="008C556E"/>
    <w:rsid w:val="008C6092"/>
    <w:rsid w:val="008C7BB8"/>
    <w:rsid w:val="008F32CB"/>
    <w:rsid w:val="00901335"/>
    <w:rsid w:val="00903833"/>
    <w:rsid w:val="00905590"/>
    <w:rsid w:val="00905635"/>
    <w:rsid w:val="00905668"/>
    <w:rsid w:val="0090612A"/>
    <w:rsid w:val="00907976"/>
    <w:rsid w:val="00911A5E"/>
    <w:rsid w:val="00920117"/>
    <w:rsid w:val="00922A4D"/>
    <w:rsid w:val="009370F3"/>
    <w:rsid w:val="00940E1E"/>
    <w:rsid w:val="009436FA"/>
    <w:rsid w:val="0094661C"/>
    <w:rsid w:val="00950432"/>
    <w:rsid w:val="009633E2"/>
    <w:rsid w:val="00965041"/>
    <w:rsid w:val="00971663"/>
    <w:rsid w:val="009752D5"/>
    <w:rsid w:val="00976592"/>
    <w:rsid w:val="00983818"/>
    <w:rsid w:val="0098455F"/>
    <w:rsid w:val="009856C1"/>
    <w:rsid w:val="0098669A"/>
    <w:rsid w:val="009A2625"/>
    <w:rsid w:val="009B2DA2"/>
    <w:rsid w:val="009B4136"/>
    <w:rsid w:val="009C03DD"/>
    <w:rsid w:val="009C3444"/>
    <w:rsid w:val="009C701B"/>
    <w:rsid w:val="009D3830"/>
    <w:rsid w:val="009E09BF"/>
    <w:rsid w:val="009E17F3"/>
    <w:rsid w:val="009E1A7C"/>
    <w:rsid w:val="009E2BFF"/>
    <w:rsid w:val="009E45D3"/>
    <w:rsid w:val="009F2A4A"/>
    <w:rsid w:val="009F4BA7"/>
    <w:rsid w:val="00A02F68"/>
    <w:rsid w:val="00A03EF8"/>
    <w:rsid w:val="00A0516C"/>
    <w:rsid w:val="00A07CE2"/>
    <w:rsid w:val="00A1198D"/>
    <w:rsid w:val="00A160D6"/>
    <w:rsid w:val="00A22291"/>
    <w:rsid w:val="00A22D65"/>
    <w:rsid w:val="00A23526"/>
    <w:rsid w:val="00A311BF"/>
    <w:rsid w:val="00A334B8"/>
    <w:rsid w:val="00A339B5"/>
    <w:rsid w:val="00A41A03"/>
    <w:rsid w:val="00A53E74"/>
    <w:rsid w:val="00A53F7D"/>
    <w:rsid w:val="00A55819"/>
    <w:rsid w:val="00A56375"/>
    <w:rsid w:val="00A5647D"/>
    <w:rsid w:val="00A56D43"/>
    <w:rsid w:val="00A56FF9"/>
    <w:rsid w:val="00A61ED4"/>
    <w:rsid w:val="00A6697C"/>
    <w:rsid w:val="00A67593"/>
    <w:rsid w:val="00A71877"/>
    <w:rsid w:val="00A73F97"/>
    <w:rsid w:val="00A75923"/>
    <w:rsid w:val="00A774B9"/>
    <w:rsid w:val="00A82FBB"/>
    <w:rsid w:val="00A83364"/>
    <w:rsid w:val="00A847AF"/>
    <w:rsid w:val="00A91FB5"/>
    <w:rsid w:val="00A93F64"/>
    <w:rsid w:val="00A95127"/>
    <w:rsid w:val="00AA04B8"/>
    <w:rsid w:val="00AA50C3"/>
    <w:rsid w:val="00AB21F6"/>
    <w:rsid w:val="00AB3AB8"/>
    <w:rsid w:val="00AC0959"/>
    <w:rsid w:val="00AC1F77"/>
    <w:rsid w:val="00AC227B"/>
    <w:rsid w:val="00AD37B1"/>
    <w:rsid w:val="00AE00A5"/>
    <w:rsid w:val="00AE178B"/>
    <w:rsid w:val="00AE3C5E"/>
    <w:rsid w:val="00AE52CD"/>
    <w:rsid w:val="00AF3894"/>
    <w:rsid w:val="00AF5C6B"/>
    <w:rsid w:val="00B00D12"/>
    <w:rsid w:val="00B0383A"/>
    <w:rsid w:val="00B03BA0"/>
    <w:rsid w:val="00B058E8"/>
    <w:rsid w:val="00B15D3D"/>
    <w:rsid w:val="00B15DCA"/>
    <w:rsid w:val="00B36E5D"/>
    <w:rsid w:val="00B416FE"/>
    <w:rsid w:val="00B42EB6"/>
    <w:rsid w:val="00B438A4"/>
    <w:rsid w:val="00B439C8"/>
    <w:rsid w:val="00B53E20"/>
    <w:rsid w:val="00B5470F"/>
    <w:rsid w:val="00B566A8"/>
    <w:rsid w:val="00B6238A"/>
    <w:rsid w:val="00B64F0D"/>
    <w:rsid w:val="00B658AC"/>
    <w:rsid w:val="00B70C82"/>
    <w:rsid w:val="00B778AD"/>
    <w:rsid w:val="00B8330C"/>
    <w:rsid w:val="00B84DD2"/>
    <w:rsid w:val="00B94DAD"/>
    <w:rsid w:val="00B95CA5"/>
    <w:rsid w:val="00BA147B"/>
    <w:rsid w:val="00BA2CDA"/>
    <w:rsid w:val="00BA68EA"/>
    <w:rsid w:val="00BB0225"/>
    <w:rsid w:val="00BB0500"/>
    <w:rsid w:val="00BB08E0"/>
    <w:rsid w:val="00BB2242"/>
    <w:rsid w:val="00BB440B"/>
    <w:rsid w:val="00BC7238"/>
    <w:rsid w:val="00BD416E"/>
    <w:rsid w:val="00BE015E"/>
    <w:rsid w:val="00BE09E4"/>
    <w:rsid w:val="00BE0A08"/>
    <w:rsid w:val="00BE3EA9"/>
    <w:rsid w:val="00BE459A"/>
    <w:rsid w:val="00BE5DD6"/>
    <w:rsid w:val="00BE7A0B"/>
    <w:rsid w:val="00BF2C07"/>
    <w:rsid w:val="00BF794F"/>
    <w:rsid w:val="00BF79A2"/>
    <w:rsid w:val="00C01529"/>
    <w:rsid w:val="00C0378F"/>
    <w:rsid w:val="00C05BD3"/>
    <w:rsid w:val="00C13E1A"/>
    <w:rsid w:val="00C202B8"/>
    <w:rsid w:val="00C20FFD"/>
    <w:rsid w:val="00C21944"/>
    <w:rsid w:val="00C503B2"/>
    <w:rsid w:val="00C6704E"/>
    <w:rsid w:val="00C67F65"/>
    <w:rsid w:val="00C7341E"/>
    <w:rsid w:val="00C827AB"/>
    <w:rsid w:val="00C850C4"/>
    <w:rsid w:val="00C85EC7"/>
    <w:rsid w:val="00C87BBA"/>
    <w:rsid w:val="00C90248"/>
    <w:rsid w:val="00C9270E"/>
    <w:rsid w:val="00CA6217"/>
    <w:rsid w:val="00CA6FC4"/>
    <w:rsid w:val="00CA7164"/>
    <w:rsid w:val="00CA7468"/>
    <w:rsid w:val="00CB0BA8"/>
    <w:rsid w:val="00CB5B74"/>
    <w:rsid w:val="00CB6E5E"/>
    <w:rsid w:val="00CB7DB5"/>
    <w:rsid w:val="00CC1BC6"/>
    <w:rsid w:val="00CD4BD1"/>
    <w:rsid w:val="00CD52F2"/>
    <w:rsid w:val="00CD76C0"/>
    <w:rsid w:val="00CE3EE2"/>
    <w:rsid w:val="00CE7A87"/>
    <w:rsid w:val="00CF06BD"/>
    <w:rsid w:val="00CF4F3D"/>
    <w:rsid w:val="00CF7056"/>
    <w:rsid w:val="00CF72AD"/>
    <w:rsid w:val="00D004CB"/>
    <w:rsid w:val="00D103B3"/>
    <w:rsid w:val="00D120E1"/>
    <w:rsid w:val="00D12F98"/>
    <w:rsid w:val="00D222E9"/>
    <w:rsid w:val="00D23123"/>
    <w:rsid w:val="00D24E65"/>
    <w:rsid w:val="00D31EFB"/>
    <w:rsid w:val="00D36583"/>
    <w:rsid w:val="00D37121"/>
    <w:rsid w:val="00D5407F"/>
    <w:rsid w:val="00D57ECF"/>
    <w:rsid w:val="00D6469B"/>
    <w:rsid w:val="00D64B96"/>
    <w:rsid w:val="00D732D9"/>
    <w:rsid w:val="00D73E25"/>
    <w:rsid w:val="00D8434B"/>
    <w:rsid w:val="00D84DC3"/>
    <w:rsid w:val="00D85231"/>
    <w:rsid w:val="00D90D9A"/>
    <w:rsid w:val="00D9179B"/>
    <w:rsid w:val="00D937AE"/>
    <w:rsid w:val="00D9592A"/>
    <w:rsid w:val="00DA0D6B"/>
    <w:rsid w:val="00DA2583"/>
    <w:rsid w:val="00DA4533"/>
    <w:rsid w:val="00DB1695"/>
    <w:rsid w:val="00DC041C"/>
    <w:rsid w:val="00DC3386"/>
    <w:rsid w:val="00DC3970"/>
    <w:rsid w:val="00DC5C61"/>
    <w:rsid w:val="00DD21BE"/>
    <w:rsid w:val="00DD440A"/>
    <w:rsid w:val="00DD4B38"/>
    <w:rsid w:val="00DD6DC0"/>
    <w:rsid w:val="00DE4213"/>
    <w:rsid w:val="00DF0EF6"/>
    <w:rsid w:val="00DF17D2"/>
    <w:rsid w:val="00DF2CD2"/>
    <w:rsid w:val="00DF735D"/>
    <w:rsid w:val="00E000A2"/>
    <w:rsid w:val="00E17C72"/>
    <w:rsid w:val="00E30C3B"/>
    <w:rsid w:val="00E31001"/>
    <w:rsid w:val="00E33169"/>
    <w:rsid w:val="00E45E04"/>
    <w:rsid w:val="00E46122"/>
    <w:rsid w:val="00E53696"/>
    <w:rsid w:val="00E614E2"/>
    <w:rsid w:val="00E64030"/>
    <w:rsid w:val="00E76685"/>
    <w:rsid w:val="00E802B0"/>
    <w:rsid w:val="00E8750D"/>
    <w:rsid w:val="00E92EB2"/>
    <w:rsid w:val="00EA112D"/>
    <w:rsid w:val="00EA638B"/>
    <w:rsid w:val="00EB1DD7"/>
    <w:rsid w:val="00EB63E4"/>
    <w:rsid w:val="00EB7A7F"/>
    <w:rsid w:val="00ED5269"/>
    <w:rsid w:val="00ED73FD"/>
    <w:rsid w:val="00EE76AD"/>
    <w:rsid w:val="00EF31DC"/>
    <w:rsid w:val="00EF4BB0"/>
    <w:rsid w:val="00F01AA6"/>
    <w:rsid w:val="00F01FEC"/>
    <w:rsid w:val="00F023A3"/>
    <w:rsid w:val="00F05AED"/>
    <w:rsid w:val="00F05FF9"/>
    <w:rsid w:val="00F13803"/>
    <w:rsid w:val="00F17533"/>
    <w:rsid w:val="00F254C3"/>
    <w:rsid w:val="00F31083"/>
    <w:rsid w:val="00F35DD4"/>
    <w:rsid w:val="00F41370"/>
    <w:rsid w:val="00F423B0"/>
    <w:rsid w:val="00F547CA"/>
    <w:rsid w:val="00F5581D"/>
    <w:rsid w:val="00F65F1D"/>
    <w:rsid w:val="00F67C59"/>
    <w:rsid w:val="00F73150"/>
    <w:rsid w:val="00F8271C"/>
    <w:rsid w:val="00F84D2B"/>
    <w:rsid w:val="00F8786F"/>
    <w:rsid w:val="00F87D24"/>
    <w:rsid w:val="00F960E0"/>
    <w:rsid w:val="00FA219B"/>
    <w:rsid w:val="00FA4768"/>
    <w:rsid w:val="00FA5E83"/>
    <w:rsid w:val="00FB1051"/>
    <w:rsid w:val="00FB2A81"/>
    <w:rsid w:val="00FB566E"/>
    <w:rsid w:val="00FC032F"/>
    <w:rsid w:val="00FC7C30"/>
    <w:rsid w:val="00FD213C"/>
    <w:rsid w:val="00FD5E27"/>
    <w:rsid w:val="00FE6FE3"/>
    <w:rsid w:val="00FF4ABB"/>
    <w:rsid w:val="00FF7216"/>
  </w:rsids>
  <m:mathPr>
    <m:mathFont m:val="Cambria Math"/>
    <m:brkBin m:val="before"/>
    <m:brkBinSub m:val="--"/>
    <m:smallFrac m:val="0"/>
    <m:dispDef m:val="0"/>
    <m:lMargin m:val="0"/>
    <m:rMargin m:val="0"/>
    <m:defJc m:val="centerGroup"/>
    <m:wrapRight/>
    <m:intLim m:val="subSup"/>
    <m:naryLim m:val="subSup"/>
  </m:mathPr>
  <w:themeFontLang w:val="en-AU" w:bidi="hi-I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216D29"/>
  <w15:docId w15:val="{C28BD659-61AB-4DAC-BFCE-6B3595E78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iPriority="9" w:unhideWhenUsed="1" w:qFormat="1"/>
    <w:lsdException w:name="heading 3" w:qFormat="1"/>
    <w:lsdException w:name="heading 4" w:semiHidden="1" w:uiPriority="9" w:unhideWhenUsed="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117"/>
    <w:pPr>
      <w:spacing w:before="120" w:after="120"/>
    </w:pPr>
    <w:rPr>
      <w:rFonts w:asciiTheme="minorHAnsi" w:eastAsia="Times New Roman" w:hAnsiTheme="minorHAnsi"/>
      <w:spacing w:val="-2"/>
      <w:szCs w:val="24"/>
    </w:rPr>
  </w:style>
  <w:style w:type="paragraph" w:styleId="Heading1">
    <w:name w:val="heading 1"/>
    <w:basedOn w:val="Normal"/>
    <w:next w:val="Normal"/>
    <w:link w:val="Heading1Char"/>
    <w:uiPriority w:val="1"/>
    <w:qFormat/>
    <w:rsid w:val="00867DBB"/>
    <w:pPr>
      <w:keepNext/>
      <w:keepLines/>
      <w:contextualSpacing/>
      <w:outlineLvl w:val="0"/>
    </w:pPr>
    <w:rPr>
      <w:rFonts w:asciiTheme="majorHAnsi" w:eastAsiaTheme="majorEastAsia" w:hAnsiTheme="majorHAnsi" w:cstheme="majorBidi"/>
      <w:b/>
      <w:bCs/>
      <w:sz w:val="24"/>
      <w:szCs w:val="28"/>
    </w:rPr>
  </w:style>
  <w:style w:type="paragraph" w:styleId="Heading2">
    <w:name w:val="heading 2"/>
    <w:basedOn w:val="Normal"/>
    <w:next w:val="Normal"/>
    <w:link w:val="Heading2Char"/>
    <w:uiPriority w:val="1"/>
    <w:qFormat/>
    <w:rsid w:val="00304638"/>
    <w:pPr>
      <w:keepNext/>
      <w:keepLines/>
      <w:contextualSpacing/>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1"/>
    <w:qFormat/>
    <w:rsid w:val="00877A6A"/>
    <w:pPr>
      <w:keepNext/>
      <w:keepLines/>
      <w:contextualSpacing/>
      <w:outlineLvl w:val="2"/>
    </w:pPr>
    <w:rPr>
      <w:rFonts w:asciiTheme="majorHAnsi" w:eastAsiaTheme="majorEastAsia" w:hAnsiTheme="majorHAnsi" w:cstheme="majorBidi"/>
      <w:b/>
      <w:bCs/>
      <w:sz w:val="18"/>
    </w:rPr>
  </w:style>
  <w:style w:type="paragraph" w:styleId="Heading4">
    <w:name w:val="heading 4"/>
    <w:basedOn w:val="Normal"/>
    <w:next w:val="Normal"/>
    <w:link w:val="Heading4Char"/>
    <w:semiHidden/>
    <w:rsid w:val="00A07CE2"/>
    <w:pPr>
      <w:keepNext/>
      <w:keepLines/>
      <w:contextualSpacing/>
      <w:outlineLvl w:val="3"/>
    </w:pPr>
    <w:rPr>
      <w:rFonts w:asciiTheme="majorHAnsi" w:eastAsiaTheme="majorEastAsia" w:hAnsiTheme="majorHAnsi" w:cstheme="majorBidi"/>
      <w:b/>
      <w:bCs/>
      <w:iCs/>
      <w:color w:val="4D90C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uiPriority w:val="99"/>
    <w:rsid w:val="00500C1B"/>
    <w:pPr>
      <w:spacing w:before="0" w:after="360"/>
    </w:pPr>
    <w:rPr>
      <w:noProof/>
      <w:sz w:val="28"/>
      <w:szCs w:val="28"/>
      <w:lang w:eastAsia="en-AU"/>
    </w:rPr>
  </w:style>
  <w:style w:type="paragraph" w:styleId="Header">
    <w:name w:val="header"/>
    <w:basedOn w:val="Normal"/>
    <w:rsid w:val="00587074"/>
    <w:pPr>
      <w:tabs>
        <w:tab w:val="center" w:pos="4153"/>
        <w:tab w:val="right" w:pos="8306"/>
      </w:tabs>
      <w:spacing w:before="0" w:after="0"/>
    </w:pPr>
  </w:style>
  <w:style w:type="paragraph" w:styleId="Footer">
    <w:name w:val="footer"/>
    <w:basedOn w:val="Normal"/>
    <w:link w:val="FooterChar"/>
    <w:rsid w:val="00183019"/>
    <w:pPr>
      <w:tabs>
        <w:tab w:val="center" w:pos="4153"/>
        <w:tab w:val="right" w:pos="8306"/>
      </w:tabs>
      <w:spacing w:before="0" w:after="0"/>
      <w:jc w:val="right"/>
    </w:pPr>
    <w:rPr>
      <w:sz w:val="14"/>
    </w:rPr>
  </w:style>
  <w:style w:type="paragraph" w:customStyle="1" w:styleId="Source">
    <w:name w:val="Source"/>
    <w:basedOn w:val="Normal"/>
    <w:next w:val="Normal"/>
    <w:uiPriority w:val="99"/>
    <w:qFormat/>
    <w:rsid w:val="00877A6A"/>
    <w:pPr>
      <w:spacing w:before="40" w:after="40"/>
      <w:ind w:left="142" w:hanging="142"/>
    </w:pPr>
    <w:rPr>
      <w:rFonts w:cstheme="minorHAnsi"/>
      <w:sz w:val="14"/>
      <w:szCs w:val="14"/>
    </w:rPr>
  </w:style>
  <w:style w:type="table" w:styleId="MediumShading1-Accent1">
    <w:name w:val="Medium Shading 1 Accent 1"/>
    <w:aliases w:val="Default table design"/>
    <w:basedOn w:val="TableNormal"/>
    <w:uiPriority w:val="63"/>
    <w:rsid w:val="00DA4533"/>
    <w:rPr>
      <w:rFonts w:asciiTheme="minorHAnsi" w:hAnsiTheme="minorHAnsi"/>
      <w:sz w:val="18"/>
    </w:rPr>
    <w:tblPr>
      <w:tblStyleRowBandSize w:val="1"/>
      <w:tblStyleColBandSize w:val="1"/>
      <w:tblInd w:w="85" w:type="dxa"/>
      <w:tblBorders>
        <w:top w:val="single" w:sz="4" w:space="0" w:color="ECECEC"/>
        <w:bottom w:val="single" w:sz="4" w:space="0" w:color="ECECEC"/>
        <w:insideH w:val="single" w:sz="4" w:space="0" w:color="ECECEC"/>
      </w:tblBorders>
      <w:tblCellMar>
        <w:top w:w="28" w:type="dxa"/>
        <w:left w:w="85" w:type="dxa"/>
        <w:bottom w:w="28" w:type="dxa"/>
        <w:right w:w="85" w:type="dxa"/>
      </w:tblCellMar>
    </w:tblPr>
    <w:tblStylePr w:type="firstRow">
      <w:pPr>
        <w:spacing w:before="0" w:after="0" w:line="240" w:lineRule="auto"/>
      </w:pPr>
      <w:rPr>
        <w:b/>
        <w:bCs/>
        <w:color w:val="000000" w:themeColor="text1"/>
      </w:rPr>
      <w:tblPr/>
      <w:tcPr>
        <w:shd w:val="clear" w:color="auto" w:fill="ECECEC"/>
      </w:tcPr>
    </w:tblStylePr>
    <w:tblStylePr w:type="lastRow">
      <w:pPr>
        <w:spacing w:before="0" w:after="0" w:line="240" w:lineRule="auto"/>
      </w:pPr>
      <w:rPr>
        <w:b/>
        <w:bCs/>
      </w:rPr>
      <w:tblPr/>
      <w:tcPr>
        <w:shd w:val="clear" w:color="auto" w:fill="F2F2F2" w:themeFill="background1" w:themeFillShade="F2"/>
      </w:tcPr>
    </w:tblStylePr>
    <w:tblStylePr w:type="firstCol">
      <w:rPr>
        <w:b/>
        <w:bCs/>
      </w:rPr>
      <w:tblPr/>
      <w:tcPr>
        <w:shd w:val="clear" w:color="auto" w:fill="ECECEC"/>
      </w:tcPr>
    </w:tblStylePr>
    <w:tblStylePr w:type="lastCol">
      <w:rPr>
        <w:b/>
        <w:bCs/>
      </w:rPr>
    </w:tblStylePr>
    <w:tblStylePr w:type="band2Horz">
      <w:tblPr/>
      <w:tcPr>
        <w:shd w:val="clear" w:color="auto" w:fill="ECECEC"/>
      </w:tcPr>
    </w:tblStylePr>
  </w:style>
  <w:style w:type="character" w:styleId="Hyperlink">
    <w:name w:val="Hyperlink"/>
    <w:uiPriority w:val="99"/>
    <w:rsid w:val="00857AC3"/>
    <w:rPr>
      <w:b/>
      <w:color w:val="1B396A" w:themeColor="accent1"/>
      <w:u w:val="none"/>
    </w:rPr>
  </w:style>
  <w:style w:type="paragraph" w:styleId="Date">
    <w:name w:val="Date"/>
    <w:basedOn w:val="Normal"/>
    <w:next w:val="Normal"/>
    <w:link w:val="DateChar"/>
    <w:uiPriority w:val="2"/>
    <w:rsid w:val="00783D34"/>
    <w:pPr>
      <w:spacing w:before="0" w:after="0"/>
      <w:jc w:val="right"/>
    </w:pPr>
    <w:rPr>
      <w:b/>
      <w:color w:val="1B396A" w:themeColor="accent1"/>
      <w:sz w:val="24"/>
    </w:rPr>
  </w:style>
  <w:style w:type="paragraph" w:styleId="TOC1">
    <w:name w:val="toc 1"/>
    <w:basedOn w:val="Normal"/>
    <w:next w:val="Normal"/>
    <w:semiHidden/>
    <w:rsid w:val="000971C7"/>
    <w:pPr>
      <w:spacing w:before="240"/>
    </w:pPr>
    <w:rPr>
      <w:b/>
      <w:bCs/>
      <w:szCs w:val="20"/>
    </w:rPr>
  </w:style>
  <w:style w:type="character" w:customStyle="1" w:styleId="DateChar">
    <w:name w:val="Date Char"/>
    <w:basedOn w:val="DefaultParagraphFont"/>
    <w:link w:val="Date"/>
    <w:uiPriority w:val="2"/>
    <w:rsid w:val="00F35DD4"/>
    <w:rPr>
      <w:rFonts w:asciiTheme="minorHAnsi" w:eastAsia="Times New Roman" w:hAnsiTheme="minorHAnsi"/>
      <w:b/>
      <w:color w:val="1B396A" w:themeColor="accent1"/>
      <w:sz w:val="24"/>
      <w:szCs w:val="24"/>
    </w:rPr>
  </w:style>
  <w:style w:type="paragraph" w:customStyle="1" w:styleId="TableText">
    <w:name w:val="Table Text"/>
    <w:basedOn w:val="Normal"/>
    <w:uiPriority w:val="2"/>
    <w:qFormat/>
    <w:rsid w:val="00783D34"/>
    <w:pPr>
      <w:spacing w:before="0" w:after="0"/>
    </w:pPr>
    <w:rPr>
      <w:sz w:val="18"/>
      <w:szCs w:val="18"/>
    </w:rPr>
  </w:style>
  <w:style w:type="paragraph" w:styleId="TOCHeading">
    <w:name w:val="TOC Heading"/>
    <w:basedOn w:val="Normal"/>
    <w:semiHidden/>
    <w:rsid w:val="000971C7"/>
    <w:pPr>
      <w:tabs>
        <w:tab w:val="right" w:pos="9378"/>
      </w:tabs>
      <w:spacing w:after="240"/>
    </w:pPr>
    <w:rPr>
      <w:b/>
      <w:color w:val="4D90CD"/>
      <w:sz w:val="28"/>
      <w:szCs w:val="28"/>
    </w:rPr>
  </w:style>
  <w:style w:type="paragraph" w:customStyle="1" w:styleId="Disclaimer">
    <w:name w:val="Disclaimer"/>
    <w:basedOn w:val="Normal"/>
    <w:uiPriority w:val="99"/>
    <w:rsid w:val="00414F87"/>
    <w:pPr>
      <w:spacing w:before="0" w:after="60"/>
    </w:pPr>
    <w:rPr>
      <w:spacing w:val="-4"/>
      <w:sz w:val="14"/>
      <w:szCs w:val="14"/>
      <w:lang w:eastAsia="en-AU"/>
    </w:rPr>
  </w:style>
  <w:style w:type="paragraph" w:customStyle="1" w:styleId="Signoff">
    <w:name w:val="Sign off"/>
    <w:basedOn w:val="Normal"/>
    <w:uiPriority w:val="99"/>
    <w:rsid w:val="006B2B49"/>
    <w:pPr>
      <w:spacing w:before="0" w:after="0"/>
    </w:pPr>
    <w:rPr>
      <w:sz w:val="22"/>
      <w:szCs w:val="22"/>
      <w:lang w:eastAsia="en-AU"/>
    </w:rPr>
  </w:style>
  <w:style w:type="character" w:styleId="PageNumber">
    <w:name w:val="page number"/>
    <w:basedOn w:val="DefaultParagraphFont"/>
    <w:semiHidden/>
    <w:rsid w:val="000971C7"/>
  </w:style>
  <w:style w:type="paragraph" w:styleId="TOC2">
    <w:name w:val="toc 2"/>
    <w:basedOn w:val="Normal"/>
    <w:next w:val="Normal"/>
    <w:autoRedefine/>
    <w:semiHidden/>
    <w:rsid w:val="000971C7"/>
    <w:pPr>
      <w:ind w:left="200"/>
    </w:pPr>
  </w:style>
  <w:style w:type="paragraph" w:styleId="BalloonText">
    <w:name w:val="Balloon Text"/>
    <w:basedOn w:val="Normal"/>
    <w:link w:val="BalloonTextChar"/>
    <w:semiHidden/>
    <w:rsid w:val="00897341"/>
    <w:rPr>
      <w:rFonts w:ascii="Tahoma" w:hAnsi="Tahoma" w:cs="Tahoma"/>
      <w:sz w:val="16"/>
      <w:szCs w:val="16"/>
    </w:rPr>
  </w:style>
  <w:style w:type="character" w:customStyle="1" w:styleId="BalloonTextChar">
    <w:name w:val="Balloon Text Char"/>
    <w:basedOn w:val="DefaultParagraphFont"/>
    <w:link w:val="BalloonText"/>
    <w:semiHidden/>
    <w:rsid w:val="00446B18"/>
    <w:rPr>
      <w:rFonts w:ascii="Tahoma" w:eastAsia="Times New Roman" w:hAnsi="Tahoma" w:cs="Tahoma"/>
      <w:sz w:val="16"/>
      <w:szCs w:val="16"/>
    </w:rPr>
  </w:style>
  <w:style w:type="table" w:styleId="TableGrid">
    <w:name w:val="Table Grid"/>
    <w:basedOn w:val="TableNormal"/>
    <w:rsid w:val="006E6F1C"/>
    <w:rPr>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rsid w:val="00672227"/>
    <w:pPr>
      <w:ind w:left="720"/>
    </w:pPr>
    <w:rPr>
      <w:szCs w:val="20"/>
      <w:lang w:eastAsia="en-AU"/>
    </w:rPr>
  </w:style>
  <w:style w:type="character" w:styleId="CommentReference">
    <w:name w:val="annotation reference"/>
    <w:basedOn w:val="DefaultParagraphFont"/>
    <w:uiPriority w:val="99"/>
    <w:rsid w:val="00862B44"/>
    <w:rPr>
      <w:sz w:val="16"/>
      <w:szCs w:val="16"/>
    </w:rPr>
  </w:style>
  <w:style w:type="paragraph" w:styleId="CommentText">
    <w:name w:val="annotation text"/>
    <w:basedOn w:val="Normal"/>
    <w:link w:val="CommentTextChar"/>
    <w:semiHidden/>
    <w:rsid w:val="00862B44"/>
    <w:rPr>
      <w:szCs w:val="20"/>
    </w:rPr>
  </w:style>
  <w:style w:type="character" w:customStyle="1" w:styleId="CommentTextChar">
    <w:name w:val="Comment Text Char"/>
    <w:basedOn w:val="DefaultParagraphFont"/>
    <w:link w:val="CommentText"/>
    <w:semiHidden/>
    <w:rsid w:val="00446B18"/>
    <w:rPr>
      <w:rFonts w:asciiTheme="minorHAnsi" w:eastAsia="Times New Roman" w:hAnsiTheme="minorHAnsi"/>
    </w:rPr>
  </w:style>
  <w:style w:type="paragraph" w:styleId="CommentSubject">
    <w:name w:val="annotation subject"/>
    <w:basedOn w:val="CommentText"/>
    <w:next w:val="CommentText"/>
    <w:link w:val="CommentSubjectChar"/>
    <w:semiHidden/>
    <w:rsid w:val="00862B44"/>
    <w:rPr>
      <w:b/>
      <w:bCs/>
    </w:rPr>
  </w:style>
  <w:style w:type="character" w:customStyle="1" w:styleId="CommentSubjectChar">
    <w:name w:val="Comment Subject Char"/>
    <w:basedOn w:val="CommentTextChar"/>
    <w:link w:val="CommentSubject"/>
    <w:semiHidden/>
    <w:rsid w:val="00446B18"/>
    <w:rPr>
      <w:rFonts w:asciiTheme="minorHAnsi" w:eastAsia="Times New Roman" w:hAnsiTheme="minorHAnsi"/>
      <w:b/>
      <w:bCs/>
    </w:rPr>
  </w:style>
  <w:style w:type="character" w:styleId="FollowedHyperlink">
    <w:name w:val="FollowedHyperlink"/>
    <w:basedOn w:val="DefaultParagraphFont"/>
    <w:semiHidden/>
    <w:rsid w:val="00CD52F2"/>
    <w:rPr>
      <w:color w:val="000000" w:themeColor="followedHyperlink"/>
      <w:u w:val="single"/>
    </w:rPr>
  </w:style>
  <w:style w:type="paragraph" w:styleId="Revision">
    <w:name w:val="Revision"/>
    <w:hidden/>
    <w:uiPriority w:val="99"/>
    <w:semiHidden/>
    <w:rsid w:val="00682ACD"/>
    <w:rPr>
      <w:rFonts w:ascii="Verdana" w:eastAsia="Times New Roman" w:hAnsi="Verdana"/>
      <w:szCs w:val="24"/>
    </w:rPr>
  </w:style>
  <w:style w:type="paragraph" w:customStyle="1" w:styleId="Default">
    <w:name w:val="Default"/>
    <w:semiHidden/>
    <w:rsid w:val="00AB3AB8"/>
    <w:pPr>
      <w:autoSpaceDE w:val="0"/>
      <w:autoSpaceDN w:val="0"/>
      <w:adjustRightInd w:val="0"/>
    </w:pPr>
    <w:rPr>
      <w:rFonts w:ascii="Arial" w:eastAsia="Arial" w:hAnsi="Arial" w:cs="Arial"/>
      <w:color w:val="000000"/>
      <w:sz w:val="24"/>
      <w:szCs w:val="24"/>
      <w:lang w:eastAsia="en-AU"/>
    </w:rPr>
  </w:style>
  <w:style w:type="character" w:customStyle="1" w:styleId="Heading2Char">
    <w:name w:val="Heading 2 Char"/>
    <w:basedOn w:val="DefaultParagraphFont"/>
    <w:link w:val="Heading2"/>
    <w:uiPriority w:val="1"/>
    <w:rsid w:val="00304638"/>
    <w:rPr>
      <w:rFonts w:asciiTheme="majorHAnsi" w:eastAsiaTheme="majorEastAsia" w:hAnsiTheme="majorHAnsi" w:cstheme="majorBidi"/>
      <w:b/>
      <w:bCs/>
      <w:spacing w:val="-2"/>
      <w:szCs w:val="26"/>
    </w:rPr>
  </w:style>
  <w:style w:type="character" w:styleId="Strong">
    <w:name w:val="Strong"/>
    <w:basedOn w:val="DefaultParagraphFont"/>
    <w:uiPriority w:val="22"/>
    <w:semiHidden/>
    <w:rsid w:val="00175845"/>
    <w:rPr>
      <w:rFonts w:asciiTheme="minorHAnsi" w:hAnsiTheme="minorHAnsi"/>
      <w:b/>
      <w:bCs/>
    </w:rPr>
  </w:style>
  <w:style w:type="paragraph" w:styleId="FootnoteText">
    <w:name w:val="footnote text"/>
    <w:basedOn w:val="Normal"/>
    <w:link w:val="FootnoteTextChar"/>
    <w:uiPriority w:val="99"/>
    <w:unhideWhenUsed/>
    <w:rsid w:val="00A07CE2"/>
    <w:pPr>
      <w:spacing w:before="0" w:after="0"/>
    </w:pPr>
    <w:rPr>
      <w:rFonts w:eastAsia="Arial"/>
      <w:sz w:val="16"/>
      <w:szCs w:val="20"/>
    </w:rPr>
  </w:style>
  <w:style w:type="character" w:customStyle="1" w:styleId="FootnoteTextChar">
    <w:name w:val="Footnote Text Char"/>
    <w:basedOn w:val="DefaultParagraphFont"/>
    <w:link w:val="FootnoteText"/>
    <w:uiPriority w:val="99"/>
    <w:rsid w:val="00A07CE2"/>
    <w:rPr>
      <w:rFonts w:asciiTheme="minorHAnsi" w:eastAsia="Arial" w:hAnsiTheme="minorHAnsi"/>
      <w:sz w:val="16"/>
    </w:rPr>
  </w:style>
  <w:style w:type="character" w:styleId="FootnoteReference">
    <w:name w:val="footnote reference"/>
    <w:basedOn w:val="DefaultParagraphFont"/>
    <w:uiPriority w:val="99"/>
    <w:unhideWhenUsed/>
    <w:rsid w:val="00C21944"/>
    <w:rPr>
      <w:vertAlign w:val="superscript"/>
    </w:rPr>
  </w:style>
  <w:style w:type="character" w:customStyle="1" w:styleId="Heading4Char">
    <w:name w:val="Heading 4 Char"/>
    <w:basedOn w:val="DefaultParagraphFont"/>
    <w:link w:val="Heading4"/>
    <w:semiHidden/>
    <w:rsid w:val="00446B18"/>
    <w:rPr>
      <w:rFonts w:asciiTheme="majorHAnsi" w:eastAsiaTheme="majorEastAsia" w:hAnsiTheme="majorHAnsi" w:cstheme="majorBidi"/>
      <w:b/>
      <w:bCs/>
      <w:iCs/>
      <w:color w:val="4D90CD"/>
      <w:szCs w:val="22"/>
    </w:rPr>
  </w:style>
  <w:style w:type="character" w:customStyle="1" w:styleId="FooterChar">
    <w:name w:val="Footer Char"/>
    <w:basedOn w:val="DefaultParagraphFont"/>
    <w:link w:val="Footer"/>
    <w:rsid w:val="00183019"/>
    <w:rPr>
      <w:rFonts w:asciiTheme="minorHAnsi" w:eastAsia="Times New Roman" w:hAnsiTheme="minorHAnsi"/>
      <w:spacing w:val="-2"/>
      <w:sz w:val="14"/>
      <w:szCs w:val="24"/>
    </w:rPr>
  </w:style>
  <w:style w:type="character" w:customStyle="1" w:styleId="Heading1Char">
    <w:name w:val="Heading 1 Char"/>
    <w:basedOn w:val="DefaultParagraphFont"/>
    <w:link w:val="Heading1"/>
    <w:uiPriority w:val="1"/>
    <w:rsid w:val="00867DBB"/>
    <w:rPr>
      <w:rFonts w:asciiTheme="majorHAnsi" w:eastAsiaTheme="majorEastAsia" w:hAnsiTheme="majorHAnsi" w:cstheme="majorBidi"/>
      <w:b/>
      <w:bCs/>
      <w:sz w:val="24"/>
      <w:szCs w:val="28"/>
    </w:rPr>
  </w:style>
  <w:style w:type="character" w:customStyle="1" w:styleId="Heading3Char">
    <w:name w:val="Heading 3 Char"/>
    <w:basedOn w:val="DefaultParagraphFont"/>
    <w:link w:val="Heading3"/>
    <w:uiPriority w:val="1"/>
    <w:rsid w:val="00877A6A"/>
    <w:rPr>
      <w:rFonts w:asciiTheme="majorHAnsi" w:eastAsiaTheme="majorEastAsia" w:hAnsiTheme="majorHAnsi" w:cstheme="majorBidi"/>
      <w:b/>
      <w:bCs/>
      <w:spacing w:val="-2"/>
      <w:sz w:val="18"/>
      <w:szCs w:val="24"/>
    </w:rPr>
  </w:style>
  <w:style w:type="paragraph" w:styleId="ListBullet">
    <w:name w:val="List Bullet"/>
    <w:basedOn w:val="Normal"/>
    <w:qFormat/>
    <w:rsid w:val="00426D18"/>
    <w:pPr>
      <w:numPr>
        <w:numId w:val="44"/>
      </w:numPr>
      <w:spacing w:before="40" w:after="40"/>
    </w:pPr>
  </w:style>
  <w:style w:type="paragraph" w:styleId="Subtitle">
    <w:name w:val="Subtitle"/>
    <w:basedOn w:val="Normal"/>
    <w:next w:val="Normal"/>
    <w:link w:val="SubtitleChar"/>
    <w:rsid w:val="00500C1B"/>
    <w:pPr>
      <w:spacing w:before="0" w:after="0" w:line="216" w:lineRule="auto"/>
    </w:pPr>
    <w:rPr>
      <w:caps/>
      <w:color w:val="FFFFFF" w:themeColor="background1"/>
      <w:spacing w:val="-10"/>
      <w:sz w:val="32"/>
      <w:szCs w:val="22"/>
    </w:rPr>
  </w:style>
  <w:style w:type="character" w:customStyle="1" w:styleId="SubtitleChar">
    <w:name w:val="Subtitle Char"/>
    <w:basedOn w:val="DefaultParagraphFont"/>
    <w:link w:val="Subtitle"/>
    <w:rsid w:val="00500C1B"/>
    <w:rPr>
      <w:rFonts w:asciiTheme="minorHAnsi" w:eastAsia="Times New Roman" w:hAnsiTheme="minorHAnsi"/>
      <w:caps/>
      <w:color w:val="FFFFFF" w:themeColor="background1"/>
      <w:spacing w:val="-10"/>
      <w:sz w:val="32"/>
      <w:szCs w:val="22"/>
    </w:rPr>
  </w:style>
  <w:style w:type="paragraph" w:styleId="Title">
    <w:name w:val="Title"/>
    <w:basedOn w:val="Normal"/>
    <w:next w:val="Normal"/>
    <w:link w:val="TitleChar"/>
    <w:rsid w:val="00500C1B"/>
    <w:pPr>
      <w:spacing w:before="0" w:after="0" w:line="204" w:lineRule="auto"/>
    </w:pPr>
    <w:rPr>
      <w:color w:val="FFFFFF" w:themeColor="background1"/>
      <w:spacing w:val="-20"/>
      <w:sz w:val="60"/>
      <w:szCs w:val="52"/>
    </w:rPr>
  </w:style>
  <w:style w:type="character" w:customStyle="1" w:styleId="TitleChar">
    <w:name w:val="Title Char"/>
    <w:basedOn w:val="DefaultParagraphFont"/>
    <w:link w:val="Title"/>
    <w:rsid w:val="00500C1B"/>
    <w:rPr>
      <w:rFonts w:asciiTheme="minorHAnsi" w:eastAsia="Times New Roman" w:hAnsiTheme="minorHAnsi"/>
      <w:color w:val="FFFFFF" w:themeColor="background1"/>
      <w:spacing w:val="-20"/>
      <w:sz w:val="60"/>
      <w:szCs w:val="52"/>
    </w:rPr>
  </w:style>
  <w:style w:type="paragraph" w:styleId="ListBullet2">
    <w:name w:val="List Bullet 2"/>
    <w:basedOn w:val="Normal"/>
    <w:qFormat/>
    <w:rsid w:val="00426D18"/>
    <w:pPr>
      <w:numPr>
        <w:ilvl w:val="1"/>
        <w:numId w:val="44"/>
      </w:numPr>
      <w:spacing w:before="40" w:after="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0558">
      <w:bodyDiv w:val="1"/>
      <w:marLeft w:val="0"/>
      <w:marRight w:val="0"/>
      <w:marTop w:val="0"/>
      <w:marBottom w:val="0"/>
      <w:divBdr>
        <w:top w:val="none" w:sz="0" w:space="0" w:color="auto"/>
        <w:left w:val="none" w:sz="0" w:space="0" w:color="auto"/>
        <w:bottom w:val="none" w:sz="0" w:space="0" w:color="auto"/>
        <w:right w:val="none" w:sz="0" w:space="0" w:color="auto"/>
      </w:divBdr>
    </w:div>
    <w:div w:id="115879920">
      <w:bodyDiv w:val="1"/>
      <w:marLeft w:val="0"/>
      <w:marRight w:val="0"/>
      <w:marTop w:val="0"/>
      <w:marBottom w:val="0"/>
      <w:divBdr>
        <w:top w:val="none" w:sz="0" w:space="0" w:color="auto"/>
        <w:left w:val="none" w:sz="0" w:space="0" w:color="auto"/>
        <w:bottom w:val="none" w:sz="0" w:space="0" w:color="auto"/>
        <w:right w:val="none" w:sz="0" w:space="0" w:color="auto"/>
      </w:divBdr>
    </w:div>
    <w:div w:id="364522098">
      <w:bodyDiv w:val="1"/>
      <w:marLeft w:val="0"/>
      <w:marRight w:val="0"/>
      <w:marTop w:val="0"/>
      <w:marBottom w:val="0"/>
      <w:divBdr>
        <w:top w:val="none" w:sz="0" w:space="0" w:color="auto"/>
        <w:left w:val="none" w:sz="0" w:space="0" w:color="auto"/>
        <w:bottom w:val="none" w:sz="0" w:space="0" w:color="auto"/>
        <w:right w:val="none" w:sz="0" w:space="0" w:color="auto"/>
      </w:divBdr>
    </w:div>
    <w:div w:id="431167208">
      <w:bodyDiv w:val="1"/>
      <w:marLeft w:val="0"/>
      <w:marRight w:val="0"/>
      <w:marTop w:val="0"/>
      <w:marBottom w:val="0"/>
      <w:divBdr>
        <w:top w:val="none" w:sz="0" w:space="0" w:color="auto"/>
        <w:left w:val="none" w:sz="0" w:space="0" w:color="auto"/>
        <w:bottom w:val="none" w:sz="0" w:space="0" w:color="auto"/>
        <w:right w:val="none" w:sz="0" w:space="0" w:color="auto"/>
      </w:divBdr>
    </w:div>
    <w:div w:id="670528813">
      <w:bodyDiv w:val="1"/>
      <w:marLeft w:val="0"/>
      <w:marRight w:val="0"/>
      <w:marTop w:val="0"/>
      <w:marBottom w:val="0"/>
      <w:divBdr>
        <w:top w:val="none" w:sz="0" w:space="0" w:color="auto"/>
        <w:left w:val="none" w:sz="0" w:space="0" w:color="auto"/>
        <w:bottom w:val="none" w:sz="0" w:space="0" w:color="auto"/>
        <w:right w:val="none" w:sz="0" w:space="0" w:color="auto"/>
      </w:divBdr>
    </w:div>
    <w:div w:id="817264785">
      <w:bodyDiv w:val="1"/>
      <w:marLeft w:val="0"/>
      <w:marRight w:val="0"/>
      <w:marTop w:val="0"/>
      <w:marBottom w:val="0"/>
      <w:divBdr>
        <w:top w:val="none" w:sz="0" w:space="0" w:color="auto"/>
        <w:left w:val="none" w:sz="0" w:space="0" w:color="auto"/>
        <w:bottom w:val="none" w:sz="0" w:space="0" w:color="auto"/>
        <w:right w:val="none" w:sz="0" w:space="0" w:color="auto"/>
      </w:divBdr>
    </w:div>
    <w:div w:id="833690356">
      <w:bodyDiv w:val="1"/>
      <w:marLeft w:val="0"/>
      <w:marRight w:val="0"/>
      <w:marTop w:val="0"/>
      <w:marBottom w:val="0"/>
      <w:divBdr>
        <w:top w:val="none" w:sz="0" w:space="0" w:color="auto"/>
        <w:left w:val="none" w:sz="0" w:space="0" w:color="auto"/>
        <w:bottom w:val="none" w:sz="0" w:space="0" w:color="auto"/>
        <w:right w:val="none" w:sz="0" w:space="0" w:color="auto"/>
      </w:divBdr>
    </w:div>
    <w:div w:id="1644458058">
      <w:bodyDiv w:val="1"/>
      <w:marLeft w:val="0"/>
      <w:marRight w:val="0"/>
      <w:marTop w:val="0"/>
      <w:marBottom w:val="0"/>
      <w:divBdr>
        <w:top w:val="none" w:sz="0" w:space="0" w:color="auto"/>
        <w:left w:val="none" w:sz="0" w:space="0" w:color="auto"/>
        <w:bottom w:val="none" w:sz="0" w:space="0" w:color="auto"/>
        <w:right w:val="none" w:sz="0" w:space="0" w:color="auto"/>
      </w:divBdr>
    </w:div>
    <w:div w:id="1840847613">
      <w:bodyDiv w:val="1"/>
      <w:marLeft w:val="0"/>
      <w:marRight w:val="0"/>
      <w:marTop w:val="0"/>
      <w:marBottom w:val="0"/>
      <w:divBdr>
        <w:top w:val="none" w:sz="0" w:space="0" w:color="auto"/>
        <w:left w:val="none" w:sz="0" w:space="0" w:color="auto"/>
        <w:bottom w:val="none" w:sz="0" w:space="0" w:color="auto"/>
        <w:right w:val="none" w:sz="0" w:space="0" w:color="auto"/>
      </w:divBdr>
    </w:div>
    <w:div w:id="1870221032">
      <w:bodyDiv w:val="1"/>
      <w:marLeft w:val="0"/>
      <w:marRight w:val="0"/>
      <w:marTop w:val="0"/>
      <w:marBottom w:val="0"/>
      <w:divBdr>
        <w:top w:val="none" w:sz="0" w:space="0" w:color="auto"/>
        <w:left w:val="none" w:sz="0" w:space="0" w:color="auto"/>
        <w:bottom w:val="none" w:sz="0" w:space="0" w:color="auto"/>
        <w:right w:val="none" w:sz="0" w:space="0" w:color="auto"/>
      </w:divBdr>
    </w:div>
    <w:div w:id="207854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unt Fact File">
      <a:dk1>
        <a:sysClr val="windowText" lastClr="000000"/>
      </a:dk1>
      <a:lt1>
        <a:sysClr val="window" lastClr="FFFFFF"/>
      </a:lt1>
      <a:dk2>
        <a:srgbClr val="1B396A"/>
      </a:dk2>
      <a:lt2>
        <a:srgbClr val="FFFFFF"/>
      </a:lt2>
      <a:accent1>
        <a:srgbClr val="1B396A"/>
      </a:accent1>
      <a:accent2>
        <a:srgbClr val="A9BBCC"/>
      </a:accent2>
      <a:accent3>
        <a:srgbClr val="D9861C"/>
      </a:accent3>
      <a:accent4>
        <a:srgbClr val="EEC216"/>
      </a:accent4>
      <a:accent5>
        <a:srgbClr val="3F3F3F"/>
      </a:accent5>
      <a:accent6>
        <a:srgbClr val="7F7F7F"/>
      </a:accent6>
      <a:hlink>
        <a:srgbClr val="000000"/>
      </a:hlink>
      <a:folHlink>
        <a:srgbClr val="00000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bodyPr vertOverflow="clip" wrap="square" rtlCol="0"/>
      <a:lstStyle>
        <a:defPPr>
          <a:defRPr sz="1000"/>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531551BBA29AF48A0DF13BF40DA785F" ma:contentTypeVersion="26" ma:contentTypeDescription="Create a new document." ma:contentTypeScope="" ma:versionID="4c1027d376bd6b7923ee469885a982e4">
  <xsd:schema xmlns:xsd="http://www.w3.org/2001/XMLSchema" xmlns:xs="http://www.w3.org/2001/XMLSchema" xmlns:p="http://schemas.microsoft.com/office/2006/metadata/properties" xmlns:ns1="http://schemas.microsoft.com/sharepoint/v3" xmlns:ns2="97884903-a30f-431d-8d90-f33171442c10" xmlns:ns3="aa738544-32a4-411c-8186-5d55981d2b6e" targetNamespace="http://schemas.microsoft.com/office/2006/metadata/properties" ma:root="true" ma:fieldsID="5363b0ed97ef7fb3f74f17208673363c" ns1:_="" ns2:_="" ns3:_="">
    <xsd:import namespace="http://schemas.microsoft.com/sharepoint/v3"/>
    <xsd:import namespace="97884903-a30f-431d-8d90-f33171442c10"/>
    <xsd:import namespace="aa738544-32a4-411c-8186-5d55981d2b6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element ref="ns3:PrimeConfidenceScore" minOccurs="0"/>
                <xsd:element ref="ns3:PrimeModelURL" minOccurs="0"/>
                <xsd:element ref="ns3:PrimeModelVersion" minOccurs="0"/>
                <xsd:element ref="ns3:PrimeLastClassified" minOccurs="0"/>
                <xsd:element ref="ns3:PrimeCorrectedByUser" minOccurs="0"/>
                <xsd:element ref="ns3:_ModelId"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884903-a30f-431d-8d90-f33171442c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b30beb5-562b-474f-9067-f42073e519e8"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element name="MediaServiceObjectDetectorVersions" ma:index="33"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738544-32a4-411c-8186-5d55981d2b6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ce141024-df06-4e56-b2b3-05d41e258e67}" ma:internalName="TaxCatchAll" ma:showField="CatchAllData" ma:web="aa738544-32a4-411c-8186-5d55981d2b6e">
      <xsd:complexType>
        <xsd:complexContent>
          <xsd:extension base="dms:MultiChoiceLookup">
            <xsd:sequence>
              <xsd:element name="Value" type="dms:Lookup" maxOccurs="unbounded" minOccurs="0" nillable="true"/>
            </xsd:sequence>
          </xsd:extension>
        </xsd:complexContent>
      </xsd:complexType>
    </xsd:element>
    <xsd:element name="PrimeConfidenceScore" ma:index="27" nillable="true" ma:displayName="Confidence Score" ma:decimals="4" ma:internalName="PrimeConfidenceScore" ma:percentage="TRUE">
      <xsd:simpleType>
        <xsd:restriction base="dms:Number"/>
      </xsd:simpleType>
    </xsd:element>
    <xsd:element name="PrimeModelURL" ma:index="28" nillable="true" ma:displayName="Model URL" ma:internalName="PrimeModelURL">
      <xsd:complexType>
        <xsd:complexContent>
          <xsd:extension base="dms:URL">
            <xsd:sequence>
              <xsd:element name="Url" type="dms:ValidUrl" minOccurs="0" nillable="true"/>
              <xsd:element name="Description" type="xsd:string" nillable="true"/>
            </xsd:sequence>
          </xsd:extension>
        </xsd:complexContent>
      </xsd:complexType>
    </xsd:element>
    <xsd:element name="PrimeModelVersion" ma:index="29" nillable="true" ma:displayName="Model Version" ma:internalName="PrimeModelVersion">
      <xsd:simpleType>
        <xsd:restriction base="dms:Text"/>
      </xsd:simpleType>
    </xsd:element>
    <xsd:element name="PrimeLastClassified" ma:index="30" nillable="true" ma:displayName="Classification Date" ma:internalName="PrimeLastClassified">
      <xsd:simpleType>
        <xsd:restriction base="dms:DateTime"/>
      </xsd:simpleType>
    </xsd:element>
    <xsd:element name="PrimeCorrectedByUser" ma:index="31" nillable="true" ma:displayName="Corrected" ma:internalName="PrimeCorrectedByUser">
      <xsd:simpleType>
        <xsd:restriction base="dms:Boolean"/>
      </xsd:simpleType>
    </xsd:element>
    <xsd:element name="_ModelId" ma:index="32" nillable="true" ma:displayName="_ModelId" ma:internalName="_Model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PrimeConfidenceScore xmlns="aa738544-32a4-411c-8186-5d55981d2b6e" xsi:nil="true"/>
    <PrimeLastClassified xmlns="aa738544-32a4-411c-8186-5d55981d2b6e" xsi:nil="true"/>
    <PrimeModelVersion xmlns="aa738544-32a4-411c-8186-5d55981d2b6e" xsi:nil="true"/>
    <PrimeCorrectedByUser xmlns="aa738544-32a4-411c-8186-5d55981d2b6e" xsi:nil="true"/>
    <lcf76f155ced4ddcb4097134ff3c332f xmlns="97884903-a30f-431d-8d90-f33171442c10">
      <Terms xmlns="http://schemas.microsoft.com/office/infopath/2007/PartnerControls"/>
    </lcf76f155ced4ddcb4097134ff3c332f>
    <_ModelId xmlns="aa738544-32a4-411c-8186-5d55981d2b6e" xsi:nil="true"/>
    <TaxCatchAll xmlns="aa738544-32a4-411c-8186-5d55981d2b6e" xsi:nil="true"/>
    <PrimeModelURL xmlns="aa738544-32a4-411c-8186-5d55981d2b6e">
      <Url xsi:nil="true"/>
      <Description xsi:nil="true"/>
    </PrimeModelURL>
  </documentManagement>
</p:properties>
</file>

<file path=customXml/itemProps1.xml><?xml version="1.0" encoding="utf-8"?>
<ds:datastoreItem xmlns:ds="http://schemas.openxmlformats.org/officeDocument/2006/customXml" ds:itemID="{F5E5AEFA-4988-49C4-8961-A78F61CB39D6}">
  <ds:schemaRefs>
    <ds:schemaRef ds:uri="http://schemas.openxmlformats.org/officeDocument/2006/bibliography"/>
  </ds:schemaRefs>
</ds:datastoreItem>
</file>

<file path=customXml/itemProps2.xml><?xml version="1.0" encoding="utf-8"?>
<ds:datastoreItem xmlns:ds="http://schemas.openxmlformats.org/officeDocument/2006/customXml" ds:itemID="{88C533EA-39A2-48DA-A176-0A888E14D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884903-a30f-431d-8d90-f33171442c10"/>
    <ds:schemaRef ds:uri="aa738544-32a4-411c-8186-5d55981d2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54F597-8911-49B0-8F19-8E6FD27D0216}">
  <ds:schemaRefs>
    <ds:schemaRef ds:uri="http://schemas.microsoft.com/sharepoint/v3/contenttype/forms"/>
  </ds:schemaRefs>
</ds:datastoreItem>
</file>

<file path=customXml/itemProps4.xml><?xml version="1.0" encoding="utf-8"?>
<ds:datastoreItem xmlns:ds="http://schemas.openxmlformats.org/officeDocument/2006/customXml" ds:itemID="{F5483F46-5C7A-4227-B1A0-BB8B65D885C9}">
  <ds:schemaRefs>
    <ds:schemaRef ds:uri="http://schemas.microsoft.com/office/2006/metadata/properties"/>
    <ds:schemaRef ds:uri="http://schemas.microsoft.com/sharepoint/v3"/>
    <ds:schemaRef ds:uri="aa738544-32a4-411c-8186-5d55981d2b6e"/>
    <ds:schemaRef ds:uri="97884903-a30f-431d-8d90-f33171442c10"/>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1500</Words>
  <Characters>8553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FW Factfile</vt:lpstr>
    </vt:vector>
  </TitlesOfParts>
  <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Count-Investment-Choices</dc:title>
  <dc:creator>kim reeves</dc:creator>
  <cp:lastModifiedBy>Michelle Komolafe</cp:lastModifiedBy>
  <cp:revision>2</cp:revision>
  <cp:lastPrinted>2020-07-06T02:46:00Z</cp:lastPrinted>
  <dcterms:created xsi:type="dcterms:W3CDTF">2023-08-17T04:28:00Z</dcterms:created>
  <dcterms:modified xsi:type="dcterms:W3CDTF">2023-08-17T04:28:00Z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0x010100C531551BBA29AF48A0DF13BF40DA785F</vt:lpwstr>
  </property>
  <property fmtid="{D5CDD505-2E9C-101B-9397-08002B2CF9AE}" pid="3" name="Order">
    <vt:r8>4929400</vt:r8>
  </property>
  <property fmtid="{D5CDD505-2E9C-101B-9397-08002B2CF9AE}" pid="4" name="GrammarlyDocumentId">
    <vt:lpwstr>ac2d5dd8bab987441b53c1b79e8b77f13810ee4cbfb2e974e4f5a1a5e30b43fb</vt:lpwstr>
  </property>
  <property fmtid="{D5CDD505-2E9C-101B-9397-08002B2CF9AE}" pid="5" name="MediaServiceImageTags">
    <vt:lpwstr/>
  </property>
</Properties>
</file>