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386BE" w14:textId="3257F887" w:rsidR="00C77DDA" w:rsidRPr="00C77DDA" w:rsidRDefault="00C77DDA" w:rsidP="00C77DDA">
      <w:pPr>
        <w:tabs>
          <w:tab w:val="left" w:pos="7899"/>
        </w:tabs>
        <w:rPr>
          <w:lang w:eastAsia="en-AU"/>
        </w:rPr>
        <w:sectPr w:rsidR="00C77DDA" w:rsidRPr="00C77DDA" w:rsidSect="004266E2">
          <w:headerReference w:type="first" r:id="rId11"/>
          <w:type w:val="continuous"/>
          <w:pgSz w:w="11907" w:h="16840" w:code="9"/>
          <w:pgMar w:top="680" w:right="680" w:bottom="340" w:left="680" w:header="454" w:footer="340" w:gutter="0"/>
          <w:cols w:space="720"/>
          <w:formProt w:val="0"/>
          <w:noEndnote/>
          <w:titlePg/>
          <w:docGrid w:linePitch="272"/>
        </w:sectPr>
      </w:pPr>
      <w:r>
        <w:rPr>
          <w:lang w:eastAsia="en-AU"/>
        </w:rPr>
        <w:tab/>
      </w:r>
    </w:p>
    <w:p w14:paraId="00F796FB" w14:textId="77777777" w:rsidR="00343448" w:rsidRDefault="00343448" w:rsidP="00BF44F7">
      <w:pPr>
        <w:pStyle w:val="Intro"/>
      </w:pPr>
    </w:p>
    <w:p w14:paraId="68DAAD4D" w14:textId="77777777" w:rsidR="00343448" w:rsidRDefault="00343448" w:rsidP="00BF44F7">
      <w:pPr>
        <w:pStyle w:val="Intro"/>
      </w:pPr>
    </w:p>
    <w:p w14:paraId="6CA2EC86" w14:textId="77777777" w:rsidR="00343448" w:rsidRDefault="00343448" w:rsidP="00BF44F7">
      <w:pPr>
        <w:pStyle w:val="Intro"/>
      </w:pPr>
    </w:p>
    <w:p w14:paraId="656FEA9D" w14:textId="28374D73" w:rsidR="00135865" w:rsidRPr="00BF44F7" w:rsidRDefault="00BF44F7" w:rsidP="00BF44F7">
      <w:pPr>
        <w:pStyle w:val="Intro"/>
        <w:sectPr w:rsidR="00135865" w:rsidRPr="00BF44F7" w:rsidSect="004266E2">
          <w:type w:val="continuous"/>
          <w:pgSz w:w="11907" w:h="16840" w:code="9"/>
          <w:pgMar w:top="680" w:right="680" w:bottom="340" w:left="680" w:header="454" w:footer="340" w:gutter="0"/>
          <w:cols w:space="720"/>
          <w:noEndnote/>
          <w:titlePg/>
          <w:docGrid w:linePitch="272"/>
        </w:sectPr>
      </w:pPr>
      <w:r w:rsidRPr="00BF44F7">
        <w:t>If you’re just starting out as an investor, there’s a lot of information to absorb. This fact file defines and explores the pros and cons of each asset class, why certain asset classes are more appropriate for different types of investors and why no asset class consistently outperforms the others</w:t>
      </w:r>
      <w:r>
        <w:t>.</w:t>
      </w:r>
    </w:p>
    <w:p w14:paraId="1188798B" w14:textId="77777777" w:rsidR="007A3A07" w:rsidRPr="008B4961" w:rsidRDefault="00A75923" w:rsidP="008B4961">
      <w:r w:rsidRPr="008B4961">
        <w:rPr>
          <w:noProof/>
          <w:lang w:eastAsia="en-AU"/>
        </w:rPr>
        <mc:AlternateContent>
          <mc:Choice Requires="wps">
            <w:drawing>
              <wp:inline distT="0" distB="0" distL="0" distR="0" wp14:anchorId="490FC0AC" wp14:editId="7C5F5E86">
                <wp:extent cx="3253740" cy="914400"/>
                <wp:effectExtent l="0" t="0" r="3810" b="4445"/>
                <wp:docPr id="6" name="Text Box 6"/>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697A8EE2" w14:textId="77777777" w:rsidR="006D11F8" w:rsidRDefault="006D11F8" w:rsidP="00BF44F7">
                            <w:pPr>
                              <w:pStyle w:val="Heading1"/>
                            </w:pPr>
                            <w:r>
                              <w:t>Snapshot</w:t>
                            </w:r>
                          </w:p>
                          <w:p w14:paraId="1DC86060" w14:textId="77777777" w:rsidR="006D11F8" w:rsidRDefault="006D11F8" w:rsidP="00BF44F7">
                            <w:pPr>
                              <w:pStyle w:val="ListBullet"/>
                            </w:pPr>
                            <w:r>
                              <w:t>Cash, fixed interest, property and shares are the four main asset classes.</w:t>
                            </w:r>
                          </w:p>
                          <w:p w14:paraId="2B260869" w14:textId="77777777" w:rsidR="006D11F8" w:rsidRDefault="006D11F8" w:rsidP="00BF44F7">
                            <w:pPr>
                              <w:pStyle w:val="ListBullet"/>
                            </w:pPr>
                            <w:r>
                              <w:t>Defensive investments include cash and fixed interest.</w:t>
                            </w:r>
                          </w:p>
                          <w:p w14:paraId="6D1D6D32" w14:textId="77777777" w:rsidR="006D11F8" w:rsidRDefault="006D11F8" w:rsidP="00BF44F7">
                            <w:pPr>
                              <w:pStyle w:val="ListBullet"/>
                            </w:pPr>
                            <w:r>
                              <w:t xml:space="preserve">Growth investments include property, shares </w:t>
                            </w:r>
                            <w:r>
                              <w:br/>
                              <w:t>and alternatives.</w:t>
                            </w:r>
                          </w:p>
                          <w:p w14:paraId="1CF31B31" w14:textId="77777777" w:rsidR="006D11F8" w:rsidRDefault="006D11F8" w:rsidP="00BF44F7">
                            <w:pPr>
                              <w:pStyle w:val="ListBullet"/>
                            </w:pPr>
                            <w:r>
                              <w:t>Generally the higher the return, the higher the risk.</w:t>
                            </w:r>
                          </w:p>
                          <w:p w14:paraId="3566DC60" w14:textId="77777777" w:rsidR="006D11F8" w:rsidRDefault="006D11F8" w:rsidP="00BF44F7">
                            <w:pPr>
                              <w:pStyle w:val="ListBullet"/>
                            </w:pPr>
                            <w:r>
                              <w:t>Diversifying your portfolio and investing over the long term can help reduce this risk.</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type w14:anchorId="490FC0AC" id="_x0000_t202" coordsize="21600,21600" o:spt="202" path="m,l,21600r21600,l21600,xe">
                <v:stroke joinstyle="miter"/>
                <v:path gradientshapeok="t" o:connecttype="rect"/>
              </v:shapetype>
              <v:shape id="Text Box 6" o:spid="_x0000_s1026"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" fillcolor="#ececec" stroked="f" strokeweight=".5pt">
                <v:textbox style="mso-fit-shape-to-text:t" inset="3mm,1mm,3mm,3mm">
                  <w:txbxContent>
                    <w:p w14:paraId="697A8EE2" w14:textId="77777777" w:rsidR="006D11F8" w:rsidRDefault="006D11F8" w:rsidP="00BF44F7">
                      <w:pPr>
                        <w:pStyle w:val="Heading1"/>
                      </w:pPr>
                      <w:r>
                        <w:t>Snapshot</w:t>
                      </w:r>
                    </w:p>
                    <w:p w14:paraId="1DC86060" w14:textId="77777777" w:rsidR="006D11F8" w:rsidRDefault="006D11F8" w:rsidP="00BF44F7">
                      <w:pPr>
                        <w:pStyle w:val="ListBullet"/>
                      </w:pPr>
                      <w:r>
                        <w:t>Cash, fixed interest, property and shares are the four main asset classes.</w:t>
                      </w:r>
                    </w:p>
                    <w:p w14:paraId="2B260869" w14:textId="77777777" w:rsidR="006D11F8" w:rsidRDefault="006D11F8" w:rsidP="00BF44F7">
                      <w:pPr>
                        <w:pStyle w:val="ListBullet"/>
                      </w:pPr>
                      <w:r>
                        <w:t>Defensive investments include cash and fixed interest.</w:t>
                      </w:r>
                    </w:p>
                    <w:p w14:paraId="6D1D6D32" w14:textId="77777777" w:rsidR="006D11F8" w:rsidRDefault="006D11F8" w:rsidP="00BF44F7">
                      <w:pPr>
                        <w:pStyle w:val="ListBullet"/>
                      </w:pPr>
                      <w:r>
                        <w:t xml:space="preserve">Growth investments include property, shares </w:t>
                      </w:r>
                      <w:r>
                        <w:br/>
                        <w:t>and alternatives.</w:t>
                      </w:r>
                    </w:p>
                    <w:p w14:paraId="1CF31B31" w14:textId="77777777" w:rsidR="006D11F8" w:rsidRDefault="006D11F8" w:rsidP="00BF44F7">
                      <w:pPr>
                        <w:pStyle w:val="ListBullet"/>
                      </w:pPr>
                      <w:r>
                        <w:t>Generally the higher the return, the higher the risk.</w:t>
                      </w:r>
                    </w:p>
                    <w:p w14:paraId="3566DC60" w14:textId="77777777" w:rsidR="006D11F8" w:rsidRDefault="006D11F8" w:rsidP="00BF44F7">
                      <w:pPr>
                        <w:pStyle w:val="ListBullet"/>
                      </w:pPr>
                      <w:r>
                        <w:t>Diversifying your portfolio and investing over the long term can help reduce this risk.</w:t>
                      </w:r>
                    </w:p>
                  </w:txbxContent>
                </v:textbox>
                <w10:anchorlock/>
              </v:shape>
            </w:pict>
          </mc:Fallback>
        </mc:AlternateContent>
      </w:r>
    </w:p>
    <w:p w14:paraId="3BAB85E4" w14:textId="77777777" w:rsidR="00BF44F7" w:rsidRDefault="00BF44F7" w:rsidP="00BF44F7">
      <w:pPr>
        <w:pStyle w:val="Heading1"/>
      </w:pPr>
      <w:r>
        <w:t>Understanding asset classes</w:t>
      </w:r>
    </w:p>
    <w:p w14:paraId="3E3C3EBD" w14:textId="77777777" w:rsidR="00BF44F7" w:rsidRDefault="00BF44F7" w:rsidP="00BF44F7">
      <w:r>
        <w:t>Most investments fit into one of four main categories or asset classes:</w:t>
      </w:r>
    </w:p>
    <w:p w14:paraId="283FBA5E" w14:textId="77777777" w:rsidR="00BF44F7" w:rsidRDefault="00BF44F7" w:rsidP="00BF44F7">
      <w:pPr>
        <w:pStyle w:val="Heading2"/>
      </w:pPr>
      <w:r>
        <w:t>Cash</w:t>
      </w:r>
    </w:p>
    <w:p w14:paraId="2FDD7C98" w14:textId="77777777" w:rsidR="00BF44F7" w:rsidRDefault="00BF44F7" w:rsidP="00CD1438">
      <w:pPr>
        <w:spacing w:before="0" w:after="40"/>
      </w:pPr>
      <w:r>
        <w:t>Cash includes money in bank accounts, as well as investments in bank bills and similar securities and some short term (up to 12 months) term deposits. Cash investments provide stable, low</w:t>
      </w:r>
      <w:r w:rsidR="009E4FC6">
        <w:rPr>
          <w:rFonts w:ascii="Cambria Math" w:hAnsi="Cambria Math" w:cs="Cambria Math"/>
        </w:rPr>
        <w:t>-</w:t>
      </w:r>
      <w:r>
        <w:t>risk income in the form of regular interest payments.</w:t>
      </w:r>
    </w:p>
    <w:p w14:paraId="5F01A1E4" w14:textId="77777777" w:rsidR="00BF44F7" w:rsidRPr="00BF44F7" w:rsidRDefault="00BF44F7" w:rsidP="00CD1438">
      <w:pPr>
        <w:spacing w:before="40"/>
        <w:rPr>
          <w:b/>
        </w:rPr>
      </w:pPr>
      <w:r w:rsidRPr="00BF44F7">
        <w:rPr>
          <w:b/>
        </w:rPr>
        <w:t>Time horizon: short term</w:t>
      </w:r>
    </w:p>
    <w:p w14:paraId="5CAC9D64" w14:textId="77777777" w:rsidR="00BF44F7" w:rsidRDefault="00BF44F7" w:rsidP="00BF44F7">
      <w:pPr>
        <w:pStyle w:val="Heading2"/>
      </w:pPr>
      <w:r>
        <w:t>Fixed interest</w:t>
      </w:r>
    </w:p>
    <w:p w14:paraId="651EDEF1" w14:textId="77777777" w:rsidR="00BF44F7" w:rsidRDefault="00BF44F7" w:rsidP="00CD1438">
      <w:pPr>
        <w:spacing w:before="0" w:after="40"/>
      </w:pPr>
      <w:r>
        <w:t>Fixed interest investments include term deposits, debentures, mortgages, and government and corporate bonds. The income return is usually in the form of regular interest payments for an agreed period of time. For fixed interest investments that are tradable (</w:t>
      </w:r>
      <w:proofErr w:type="spellStart"/>
      <w:r>
        <w:t>eg</w:t>
      </w:r>
      <w:proofErr w:type="spellEnd"/>
      <w:r>
        <w:t xml:space="preserve"> bonds), there is the potential for capital growth or decline depending on interest rate movements.</w:t>
      </w:r>
    </w:p>
    <w:p w14:paraId="6C5BA6AE" w14:textId="77777777" w:rsidR="00BF44F7" w:rsidRPr="00BF44F7" w:rsidRDefault="00BF44F7" w:rsidP="00CD1438">
      <w:pPr>
        <w:spacing w:before="40"/>
        <w:rPr>
          <w:b/>
        </w:rPr>
      </w:pPr>
      <w:r w:rsidRPr="00BF44F7">
        <w:rPr>
          <w:b/>
        </w:rPr>
        <w:t>Time horizon: one to three years</w:t>
      </w:r>
    </w:p>
    <w:p w14:paraId="131646F7" w14:textId="77777777" w:rsidR="00BF44F7" w:rsidRDefault="00BF44F7" w:rsidP="00BF44F7">
      <w:pPr>
        <w:pStyle w:val="Heading2"/>
      </w:pPr>
      <w:r>
        <w:t>Property</w:t>
      </w:r>
    </w:p>
    <w:p w14:paraId="58AD3EFB" w14:textId="77777777" w:rsidR="00BF44F7" w:rsidRDefault="00BF44F7" w:rsidP="00CD1438">
      <w:pPr>
        <w:spacing w:before="0" w:after="40"/>
      </w:pPr>
      <w:r>
        <w:t>You can invest in property directly (</w:t>
      </w:r>
      <w:proofErr w:type="spellStart"/>
      <w:r>
        <w:t>eg</w:t>
      </w:r>
      <w:proofErr w:type="spellEnd"/>
      <w:r>
        <w:t xml:space="preserve"> when you buy a house or commercial premises such as a shop or office) or indirectly (</w:t>
      </w:r>
      <w:proofErr w:type="spellStart"/>
      <w:r>
        <w:t>eg</w:t>
      </w:r>
      <w:proofErr w:type="spellEnd"/>
      <w:r>
        <w:t xml:space="preserve"> by purchasing units in a property trust that is listed on a stock exchange). This asset class includes residential, commercial, retail, hotel and industrial property.</w:t>
      </w:r>
    </w:p>
    <w:p w14:paraId="09560771" w14:textId="77777777" w:rsidR="00BF44F7" w:rsidRPr="00BF44F7" w:rsidRDefault="00BF44F7" w:rsidP="00CD1438">
      <w:pPr>
        <w:spacing w:before="40"/>
        <w:rPr>
          <w:b/>
        </w:rPr>
      </w:pPr>
      <w:r w:rsidRPr="00BF44F7">
        <w:rPr>
          <w:b/>
        </w:rPr>
        <w:t>Time horizon: three to five years (medium term)</w:t>
      </w:r>
    </w:p>
    <w:p w14:paraId="44682EE0" w14:textId="77777777" w:rsidR="00BF44F7" w:rsidRDefault="00AC6773" w:rsidP="00BF44F7">
      <w:pPr>
        <w:pStyle w:val="Heading2"/>
      </w:pPr>
      <w:r>
        <w:br w:type="column"/>
      </w:r>
      <w:r w:rsidR="00BF44F7">
        <w:t>Shares</w:t>
      </w:r>
    </w:p>
    <w:p w14:paraId="6BDB2362" w14:textId="77777777" w:rsidR="00BF44F7" w:rsidRDefault="00BF44F7" w:rsidP="00CD1438">
      <w:pPr>
        <w:spacing w:before="0" w:after="40"/>
      </w:pPr>
      <w:r>
        <w:t>A share represents part ownership of a company. Shares are generally bought and sold on a stock exchange. Returns usually include capital growth as well as income from dividends. You can choose to invest in Australian shares, global shares or a mix of both.</w:t>
      </w:r>
    </w:p>
    <w:p w14:paraId="50E968E7" w14:textId="77777777" w:rsidR="00BF44F7" w:rsidRPr="00BF44F7" w:rsidRDefault="00BF44F7" w:rsidP="00CD1438">
      <w:pPr>
        <w:spacing w:before="40"/>
        <w:rPr>
          <w:b/>
        </w:rPr>
      </w:pPr>
      <w:r w:rsidRPr="00BF44F7">
        <w:rPr>
          <w:b/>
        </w:rPr>
        <w:t>Time horizon: five to seven years (long term)</w:t>
      </w:r>
    </w:p>
    <w:p w14:paraId="256A3AF7" w14:textId="77777777" w:rsidR="00BF44F7" w:rsidRDefault="00BF44F7" w:rsidP="00BF44F7">
      <w:pPr>
        <w:pStyle w:val="Heading1"/>
      </w:pPr>
      <w:r>
        <w:t>Defensive vs growth investments</w:t>
      </w:r>
    </w:p>
    <w:p w14:paraId="7764CF6C" w14:textId="77777777" w:rsidR="00BF44F7" w:rsidRDefault="00BF44F7" w:rsidP="00BF44F7">
      <w:r>
        <w:t>The main asset classes can be separated into two broad groups – defensive and growth investments.</w:t>
      </w:r>
    </w:p>
    <w:p w14:paraId="71765D30" w14:textId="77777777" w:rsidR="00BF44F7" w:rsidRDefault="00BF44F7" w:rsidP="00BF44F7">
      <w:pPr>
        <w:pStyle w:val="Heading2"/>
      </w:pPr>
      <w:r>
        <w:t>Cash and fixed interest</w:t>
      </w:r>
    </w:p>
    <w:p w14:paraId="64E1FD7C" w14:textId="77777777" w:rsidR="00BF44F7" w:rsidRDefault="00BF44F7" w:rsidP="00BF44F7">
      <w:r>
        <w:t>Defensive investments, such as cash and fixed interest aim to provide investors with regular income at relatively low risk. They generally experience only slight fluctuations in investment returns and values over short periods. The downside of this security is that defensive investments do not usually grow in capital value and returns are generally lower than those of growth investments over the medium to long term.</w:t>
      </w:r>
    </w:p>
    <w:p w14:paraId="4CC67269" w14:textId="77777777" w:rsidR="00BF44F7" w:rsidRDefault="00BF44F7" w:rsidP="00BF44F7">
      <w:pPr>
        <w:pStyle w:val="Heading2"/>
      </w:pPr>
      <w:r>
        <w:t>Property and shares</w:t>
      </w:r>
    </w:p>
    <w:p w14:paraId="7420035A" w14:textId="77777777" w:rsidR="00BF44F7" w:rsidRDefault="00BF44F7" w:rsidP="00BF44F7">
      <w:r>
        <w:t>Property and shares are usually classified as growth investments. As well as income, growth investments aim to increase the value of the capital invested. While investment returns are expected to fluctuate over the short term with market movements and economic changes, growth investments have the potential to produce higher returns than defensive investments over the long term.</w:t>
      </w:r>
    </w:p>
    <w:p w14:paraId="0B2D9267" w14:textId="77777777" w:rsidR="00BF44F7" w:rsidRDefault="00BF44F7" w:rsidP="00BF44F7">
      <w:pPr>
        <w:pStyle w:val="Heading2"/>
      </w:pPr>
      <w:r>
        <w:t>Alternatives</w:t>
      </w:r>
    </w:p>
    <w:p w14:paraId="6E5632E3" w14:textId="77777777" w:rsidR="00482A89" w:rsidRDefault="00BF44F7" w:rsidP="00BF44F7">
      <w:r>
        <w:t>Alternatives assets fall outside the four traditional asset classes and include commodities (</w:t>
      </w:r>
      <w:proofErr w:type="spellStart"/>
      <w:r>
        <w:t>eg</w:t>
      </w:r>
      <w:proofErr w:type="spellEnd"/>
      <w:r>
        <w:t xml:space="preserve"> precious metals), currency, private equity and some forms of infrastructure (</w:t>
      </w:r>
      <w:proofErr w:type="spellStart"/>
      <w:r>
        <w:t>eg</w:t>
      </w:r>
      <w:proofErr w:type="spellEnd"/>
      <w:r>
        <w:t xml:space="preserve"> public utility assets). Alternatives are included in the growth allocation as they can have very high levels of capital volatility in the short term and generally do not provide high or consistent levels of income. Alternative investments can produce different returns to both defensive and growth assets at different points in the market cycle.</w:t>
      </w:r>
    </w:p>
    <w:p w14:paraId="7BEB1484" w14:textId="77777777" w:rsidR="00AC6773" w:rsidRDefault="00AC6773" w:rsidP="00BF44F7">
      <w:pPr>
        <w:pStyle w:val="Heading1"/>
      </w:pPr>
      <w:r>
        <w:br w:type="page"/>
      </w:r>
    </w:p>
    <w:p w14:paraId="047EF515" w14:textId="77777777" w:rsidR="00BF44F7" w:rsidRDefault="00BF44F7" w:rsidP="00BF44F7">
      <w:pPr>
        <w:pStyle w:val="Heading1"/>
      </w:pPr>
      <w:r>
        <w:lastRenderedPageBreak/>
        <w:t>Risk vs return</w:t>
      </w:r>
    </w:p>
    <w:p w14:paraId="158CD41D" w14:textId="77777777" w:rsidR="00BF44F7" w:rsidRDefault="00BF44F7" w:rsidP="00BF44F7">
      <w:r>
        <w:t>All investments provide a certain level of return and are subject to a certain level of risk. This means that as well as making money on your investments, there’s also the chance you could lose money or not make as much as you expected. All investments carry some risk – due to factors such as inflation, taxation, economic downturns or a drop in a particular market.</w:t>
      </w:r>
    </w:p>
    <w:p w14:paraId="56B219D3" w14:textId="77777777" w:rsidR="00BF44F7" w:rsidRDefault="00BF44F7" w:rsidP="00BF44F7">
      <w:r>
        <w:t>As a general rule, the larger the potential investment return, the higher the investment risk and the longer you need to remain invested to reduce that risk. The amount of risk involved with an investment can be managed by matching it appropriately with the length of time you have available to invest and your tolerance towards volatility or fluctuations in returns.</w:t>
      </w:r>
    </w:p>
    <w:p w14:paraId="0995A3D3" w14:textId="77777777" w:rsidR="00BF44F7" w:rsidRDefault="00BF44F7" w:rsidP="00BF44F7">
      <w:pPr>
        <w:pStyle w:val="Heading1"/>
      </w:pPr>
      <w:r>
        <w:t>Diversification</w:t>
      </w:r>
    </w:p>
    <w:p w14:paraId="4CBA85E8" w14:textId="77777777" w:rsidR="00BF44F7" w:rsidRDefault="00BF44F7" w:rsidP="00BF44F7">
      <w:r>
        <w:t>Another way of managing or reducing investment risk is through diversification. This is the strategy of investing your money across a range of different investments. The exact mix of investments you choose will depend on:</w:t>
      </w:r>
    </w:p>
    <w:p w14:paraId="2AAFEE39" w14:textId="77777777" w:rsidR="00BF44F7" w:rsidRDefault="00BF44F7" w:rsidP="00BF44F7">
      <w:pPr>
        <w:pStyle w:val="ListBullet"/>
      </w:pPr>
      <w:r>
        <w:t>your financial objectives</w:t>
      </w:r>
    </w:p>
    <w:p w14:paraId="3A52CB7C" w14:textId="77777777" w:rsidR="00BF44F7" w:rsidRDefault="00BF44F7" w:rsidP="00BF44F7">
      <w:pPr>
        <w:pStyle w:val="ListBullet"/>
      </w:pPr>
      <w:r>
        <w:t>the amount of time you have available to invest</w:t>
      </w:r>
    </w:p>
    <w:p w14:paraId="15553887" w14:textId="77777777" w:rsidR="00BF44F7" w:rsidRDefault="00BF44F7" w:rsidP="00BF44F7">
      <w:pPr>
        <w:pStyle w:val="ListBullet"/>
      </w:pPr>
      <w:r>
        <w:t>your personal tolerance for risk.</w:t>
      </w:r>
    </w:p>
    <w:p w14:paraId="01665CC7" w14:textId="77777777" w:rsidR="00BF44F7" w:rsidRDefault="00BF44F7" w:rsidP="00BF44F7">
      <w:r>
        <w:t>Diversification is important because every type of investment has its ups and downs. Owning a diverse range of investments can help you achieve smoother, more consistent investment returns. The more ways you diversify, the more you can reduce your risk. For example, you can invest:</w:t>
      </w:r>
    </w:p>
    <w:p w14:paraId="4F01E794" w14:textId="77777777" w:rsidR="00BF44F7" w:rsidRDefault="00BF44F7" w:rsidP="00BF44F7">
      <w:pPr>
        <w:pStyle w:val="ListBullet"/>
      </w:pPr>
      <w:r>
        <w:t>across different investment types or asset classes (cash, fixed interest, property, shares)</w:t>
      </w:r>
    </w:p>
    <w:p w14:paraId="171DF5D5" w14:textId="77777777" w:rsidR="00BF44F7" w:rsidRDefault="00BF44F7" w:rsidP="00BF44F7">
      <w:pPr>
        <w:pStyle w:val="ListBullet"/>
      </w:pPr>
      <w:r>
        <w:t xml:space="preserve">in more than one investment within each type </w:t>
      </w:r>
      <w:r w:rsidR="00A35F1D">
        <w:br/>
      </w:r>
      <w:r>
        <w:t>(</w:t>
      </w:r>
      <w:proofErr w:type="spellStart"/>
      <w:r>
        <w:t>eg</w:t>
      </w:r>
      <w:proofErr w:type="spellEnd"/>
      <w:r>
        <w:t xml:space="preserve"> invest in several different industries and </w:t>
      </w:r>
      <w:r w:rsidR="00A35F1D">
        <w:br/>
      </w:r>
      <w:r>
        <w:t>companies when investing in shares)</w:t>
      </w:r>
    </w:p>
    <w:p w14:paraId="736C9BE1" w14:textId="77777777" w:rsidR="00BF44F7" w:rsidRDefault="00BF44F7" w:rsidP="00BF44F7">
      <w:pPr>
        <w:pStyle w:val="ListBullet"/>
      </w:pPr>
      <w:r>
        <w:t>in more than one type of fund, and more than one fund manager, when investing in managed funds</w:t>
      </w:r>
    </w:p>
    <w:p w14:paraId="28A50D16" w14:textId="77777777" w:rsidR="00BF44F7" w:rsidRDefault="00BF44F7" w:rsidP="00BF44F7">
      <w:pPr>
        <w:pStyle w:val="ListBullet"/>
      </w:pPr>
      <w:r>
        <w:t>inside and outside of super.</w:t>
      </w:r>
    </w:p>
    <w:p w14:paraId="5EF3D2B1" w14:textId="77777777" w:rsidR="00BF44F7" w:rsidRDefault="00BF44F7" w:rsidP="00BF44F7">
      <w:pPr>
        <w:pStyle w:val="Heading1"/>
      </w:pPr>
      <w:r>
        <w:t>Dollar cost averaging</w:t>
      </w:r>
    </w:p>
    <w:p w14:paraId="4AE6B800" w14:textId="77777777" w:rsidR="00BF44F7" w:rsidRDefault="00BF44F7" w:rsidP="00BF44F7">
      <w:r>
        <w:t>By implementing a regular investment plan you will be able to take advantage of ‘dollar cost averaging’. When you invest a set amount at regular intervals, sometimes you will purchase units or shares at a higher price, and sometimes at a lower price. Over time, this spreads out your costs and insulates you against changes in the value of the assets you are purchasing.</w:t>
      </w:r>
    </w:p>
    <w:p w14:paraId="102DC0D4" w14:textId="77777777" w:rsidR="00BF44F7" w:rsidRDefault="00AC6773" w:rsidP="00BF44F7">
      <w:pPr>
        <w:pStyle w:val="Heading1"/>
      </w:pPr>
      <w:r>
        <w:br w:type="column"/>
      </w:r>
      <w:r w:rsidR="00BF44F7">
        <w:t>The power of compounding</w:t>
      </w:r>
    </w:p>
    <w:p w14:paraId="464B3CE9" w14:textId="77777777" w:rsidR="00BF44F7" w:rsidRDefault="00BF44F7" w:rsidP="00BF44F7">
      <w:r>
        <w:t>Compounding is often described as ‘earning interest on your interest’. Each time you earn a dividend, distribution or income payment from your investment, you reinvest it to buy more units or shares. In turn, these reinvested earnings generate additional earnings. Compounding can make a huge difference to the value of your investment over time. To take full advantage of the effect of compounding, think about starting early and leaving your money invested for as long as possible.</w:t>
      </w:r>
    </w:p>
    <w:p w14:paraId="4F6CA3D0" w14:textId="77777777" w:rsidR="00BF44F7" w:rsidRDefault="00BF44F7" w:rsidP="00BF44F7">
      <w:pPr>
        <w:pStyle w:val="Heading1"/>
      </w:pPr>
      <w:r>
        <w:t>Which asset classes are best for you?</w:t>
      </w:r>
    </w:p>
    <w:p w14:paraId="15D5555B" w14:textId="77777777" w:rsidR="00BF44F7" w:rsidRDefault="00BF44F7" w:rsidP="00BF44F7">
      <w:r>
        <w:t>When a financial adviser creates a financial plan, they use a number of factors to determine which combination of asset classes will work best for you. These factors include your attitude to risk, your investment time frame and your financial and lifestyle goals. The end result or how your money is invested across the different asset classes, is known as your ‘asset allocation’.</w:t>
      </w:r>
    </w:p>
    <w:p w14:paraId="34384206" w14:textId="77777777" w:rsidR="00BF44F7" w:rsidRDefault="00BF44F7" w:rsidP="00BF44F7">
      <w:r>
        <w:t>For example, if you are a risk-averse investor looking for stable returns or wanting a low-risk, short-term investment option for a sum of money (</w:t>
      </w:r>
      <w:proofErr w:type="spellStart"/>
      <w:r>
        <w:t>eg</w:t>
      </w:r>
      <w:proofErr w:type="spellEnd"/>
      <w:r>
        <w:t xml:space="preserve"> a home deposit) – your adviser would probably weight your asset allocation more heavily towards defensive investments such as cash and fixed interest.</w:t>
      </w:r>
    </w:p>
    <w:p w14:paraId="6D49C255" w14:textId="77777777" w:rsidR="00BF44F7" w:rsidRDefault="00BF44F7" w:rsidP="00BF44F7">
      <w:r>
        <w:t>On the other hand, if you are comfortable with short- term fluctuations in the value of your investments and want to invest for more than five years, growth investments such as Australian and international shares may be the best option for you.</w:t>
      </w:r>
    </w:p>
    <w:p w14:paraId="41B13522" w14:textId="77777777" w:rsidR="007D0D3E" w:rsidRDefault="00BF44F7" w:rsidP="00BF44F7">
      <w:r>
        <w:t>If you are concerned that your asset allocation does not match your investment goals or attitude to risk, it’s important to review your financial plan with your financial adviser. They can adjust your asset allocation as required to help you achieve the best possible results.</w:t>
      </w:r>
    </w:p>
    <w:p w14:paraId="465035BD" w14:textId="77777777" w:rsidR="00BF44F7" w:rsidRPr="008B4961" w:rsidRDefault="00BF44F7" w:rsidP="00BF44F7">
      <w:r w:rsidRPr="008B4961">
        <w:rPr>
          <w:noProof/>
          <w:lang w:eastAsia="en-AU"/>
        </w:rPr>
        <mc:AlternateContent>
          <mc:Choice Requires="wps">
            <w:drawing>
              <wp:inline distT="0" distB="0" distL="0" distR="0" wp14:anchorId="71BA24ED" wp14:editId="0D2787D2">
                <wp:extent cx="3253740" cy="914400"/>
                <wp:effectExtent l="0" t="0" r="3810" b="4445"/>
                <wp:docPr id="2" name="Text Box 2"/>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0068EE90" w14:textId="77777777" w:rsidR="006D11F8" w:rsidRPr="00BF44F7" w:rsidRDefault="006D11F8" w:rsidP="000200BD">
                            <w:pPr>
                              <w:pStyle w:val="Heading1"/>
                            </w:pPr>
                            <w:r w:rsidRPr="00BF44F7">
                              <w:t>Key takeaways</w:t>
                            </w:r>
                          </w:p>
                          <w:p w14:paraId="5494BCAA" w14:textId="77777777" w:rsidR="006D11F8" w:rsidRPr="00BF44F7" w:rsidRDefault="006D11F8" w:rsidP="00BF44F7">
                            <w:pPr>
                              <w:pStyle w:val="ListBullet"/>
                            </w:pPr>
                            <w:r w:rsidRPr="00BF44F7">
                              <w:t xml:space="preserve">Understand your risk profile and consult with </w:t>
                            </w:r>
                            <w:r>
                              <w:br/>
                            </w:r>
                            <w:r w:rsidRPr="00BF44F7">
                              <w:t>your financial adviser to select investments that match it.</w:t>
                            </w:r>
                          </w:p>
                          <w:p w14:paraId="6916A1FE" w14:textId="77777777" w:rsidR="006D11F8" w:rsidRPr="00BF44F7" w:rsidRDefault="006D11F8" w:rsidP="00BF44F7">
                            <w:pPr>
                              <w:pStyle w:val="ListBullet"/>
                            </w:pPr>
                            <w:r w:rsidRPr="00BF44F7">
                              <w:t>Diversify across asset classes, industries and funds to minimise the impact of unexpected market shocks.</w:t>
                            </w:r>
                          </w:p>
                          <w:p w14:paraId="24518C81" w14:textId="77777777" w:rsidR="006D11F8" w:rsidRPr="00BF44F7" w:rsidRDefault="006D11F8" w:rsidP="00BF44F7">
                            <w:pPr>
                              <w:pStyle w:val="ListBullet"/>
                            </w:pPr>
                            <w:r w:rsidRPr="00BF44F7">
                              <w:t>If you take a long term view, you can enjoy the advantages of dollar cost averaging and compounding.</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 w14:anchorId="71BA24ED" id="Text Box 2" o:spid="_x0000_s1027"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" fillcolor="#ececec" stroked="f" strokeweight=".5pt">
                <v:textbox style="mso-fit-shape-to-text:t" inset="3mm,1mm,3mm,3mm">
                  <w:txbxContent>
                    <w:p w14:paraId="0068EE90" w14:textId="77777777" w:rsidR="006D11F8" w:rsidRPr="00BF44F7" w:rsidRDefault="006D11F8" w:rsidP="000200BD">
                      <w:pPr>
                        <w:pStyle w:val="Heading1"/>
                      </w:pPr>
                      <w:r w:rsidRPr="00BF44F7">
                        <w:t>Key takeaways</w:t>
                      </w:r>
                    </w:p>
                    <w:p w14:paraId="5494BCAA" w14:textId="77777777" w:rsidR="006D11F8" w:rsidRPr="00BF44F7" w:rsidRDefault="006D11F8" w:rsidP="00BF44F7">
                      <w:pPr>
                        <w:pStyle w:val="ListBullet"/>
                      </w:pPr>
                      <w:r w:rsidRPr="00BF44F7">
                        <w:t xml:space="preserve">Understand your risk profile and consult with </w:t>
                      </w:r>
                      <w:r>
                        <w:br/>
                      </w:r>
                      <w:r w:rsidRPr="00BF44F7">
                        <w:t>your financial adviser to select investments that match it.</w:t>
                      </w:r>
                    </w:p>
                    <w:p w14:paraId="6916A1FE" w14:textId="77777777" w:rsidR="006D11F8" w:rsidRPr="00BF44F7" w:rsidRDefault="006D11F8" w:rsidP="00BF44F7">
                      <w:pPr>
                        <w:pStyle w:val="ListBullet"/>
                      </w:pPr>
                      <w:r w:rsidRPr="00BF44F7">
                        <w:t>Diversify across asset classes, industries and funds to minimise the impact of unexpected market shocks.</w:t>
                      </w:r>
                    </w:p>
                    <w:p w14:paraId="24518C81" w14:textId="77777777" w:rsidR="006D11F8" w:rsidRPr="00BF44F7" w:rsidRDefault="006D11F8" w:rsidP="00BF44F7">
                      <w:pPr>
                        <w:pStyle w:val="ListBullet"/>
                      </w:pPr>
                      <w:r w:rsidRPr="00BF44F7">
                        <w:t>If you take a long term view, you can enjoy the advantages of dollar cost averaging and compounding.</w:t>
                      </w:r>
                    </w:p>
                  </w:txbxContent>
                </v:textbox>
                <w10:anchorlock/>
              </v:shape>
            </w:pict>
          </mc:Fallback>
        </mc:AlternateContent>
      </w:r>
    </w:p>
    <w:p w14:paraId="0E2A6C14" w14:textId="77777777" w:rsidR="00A75923" w:rsidRDefault="00A75923" w:rsidP="00783D34"/>
    <w:p w14:paraId="0C80FBA2" w14:textId="77777777" w:rsidR="00AC6773" w:rsidRDefault="00AC6773" w:rsidP="00BF44F7">
      <w:pPr>
        <w:pStyle w:val="Heading1"/>
      </w:pPr>
      <w:r>
        <w:br w:type="page"/>
      </w:r>
    </w:p>
    <w:p w14:paraId="4B422A73" w14:textId="77777777" w:rsidR="00BF44F7" w:rsidRDefault="00BF44F7" w:rsidP="00BF44F7">
      <w:pPr>
        <w:pStyle w:val="Heading1"/>
      </w:pPr>
      <w:r>
        <w:lastRenderedPageBreak/>
        <w:t>Understanding risk and return</w:t>
      </w:r>
    </w:p>
    <w:p w14:paraId="44636B3F" w14:textId="77777777" w:rsidR="00BF44F7" w:rsidRDefault="00BF44F7" w:rsidP="00BF44F7">
      <w:r>
        <w:t>The level of risk an investor takes relative to the investment return they expect to receive is sometimes known as the ‘risk to return ratio’.</w:t>
      </w:r>
    </w:p>
    <w:p w14:paraId="35163830" w14:textId="77777777" w:rsidR="00BF44F7" w:rsidRDefault="00BF44F7" w:rsidP="00BF44F7">
      <w:r>
        <w:t>As a general rule, the larger the potential investment return, the higher the investment risk and the longer you need to remain invested to reduce that risk. See the chart below for more detailed information on each asset class.</w:t>
      </w:r>
    </w:p>
    <w:p w14:paraId="30765D49" w14:textId="77777777" w:rsidR="00AC6773" w:rsidRDefault="00AC6773" w:rsidP="00BF44F7">
      <w:r>
        <w:br w:type="column"/>
      </w:r>
    </w:p>
    <w:p w14:paraId="47E576D0" w14:textId="77777777" w:rsidR="00AC6773" w:rsidRDefault="00AC6773" w:rsidP="00BF44F7">
      <w:pPr>
        <w:sectPr w:rsidR="00AC6773" w:rsidSect="004266E2">
          <w:type w:val="continuous"/>
          <w:pgSz w:w="11907" w:h="16840" w:code="9"/>
          <w:pgMar w:top="680" w:right="680" w:bottom="340" w:left="680" w:header="454" w:footer="340" w:gutter="0"/>
          <w:cols w:num="2" w:space="284"/>
          <w:noEndnote/>
          <w:titlePg/>
          <w:docGrid w:linePitch="272"/>
        </w:sectPr>
      </w:pPr>
    </w:p>
    <w:p w14:paraId="490BD35E" w14:textId="77777777" w:rsidR="00BF44F7" w:rsidRDefault="00AC6773" w:rsidP="00623D9A">
      <w:pPr>
        <w:pStyle w:val="Heading3"/>
      </w:pPr>
      <w:r w:rsidRPr="00AC6773">
        <w:t>The attributes of each asset class</w:t>
      </w:r>
    </w:p>
    <w:p w14:paraId="65B893C3" w14:textId="77777777" w:rsidR="00AC6773" w:rsidRDefault="00AC6773" w:rsidP="00BF44F7">
      <w:r>
        <w:rPr>
          <w:noProof/>
          <w:lang w:eastAsia="en-AU"/>
        </w:rPr>
        <w:drawing>
          <wp:inline distT="0" distB="0" distL="0" distR="0" wp14:anchorId="4092302C" wp14:editId="434EDA41">
            <wp:extent cx="6697345" cy="434213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5 FW FF Investment fundamentals_v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7345" cy="4342130"/>
                    </a:xfrm>
                    <a:prstGeom prst="rect">
                      <a:avLst/>
                    </a:prstGeom>
                  </pic:spPr>
                </pic:pic>
              </a:graphicData>
            </a:graphic>
          </wp:inline>
        </w:drawing>
      </w:r>
    </w:p>
    <w:p w14:paraId="75099F24" w14:textId="77777777" w:rsidR="00BF44F7" w:rsidRDefault="00BF44F7" w:rsidP="00AC6773">
      <w:pPr>
        <w:pStyle w:val="Source"/>
        <w:ind w:left="0" w:firstLine="0"/>
      </w:pPr>
      <w:r w:rsidRPr="00BF44F7">
        <w:t>Source: Colonial First State. Return forecasts above inflation are based on the long-term historical characteristics of each asset class. Past performance is no guarantee of future performance.</w:t>
      </w:r>
    </w:p>
    <w:p w14:paraId="0D2B1939" w14:textId="77777777" w:rsidR="00AC6773" w:rsidRDefault="00AC6773" w:rsidP="00BF44F7">
      <w:pPr>
        <w:sectPr w:rsidR="00AC6773" w:rsidSect="00AC6773">
          <w:type w:val="continuous"/>
          <w:pgSz w:w="11907" w:h="16840" w:code="9"/>
          <w:pgMar w:top="680" w:right="680" w:bottom="340" w:left="680" w:header="454" w:footer="340" w:gutter="0"/>
          <w:cols w:space="284"/>
          <w:noEndnote/>
          <w:titlePg/>
          <w:docGrid w:linePitch="272"/>
        </w:sectPr>
      </w:pPr>
    </w:p>
    <w:p w14:paraId="49735DF9" w14:textId="77777777" w:rsidR="00BF44F7" w:rsidRDefault="00BF44F7" w:rsidP="00BF44F7"/>
    <w:p w14:paraId="69E8F11F" w14:textId="77777777" w:rsidR="00BF44F7" w:rsidRDefault="00BF44F7" w:rsidP="00235352">
      <w:pPr>
        <w:pStyle w:val="Heading1"/>
      </w:pPr>
      <w:r>
        <w:t>Managing investment risk</w:t>
      </w:r>
    </w:p>
    <w:p w14:paraId="28772009" w14:textId="77777777" w:rsidR="00BF44F7" w:rsidRDefault="00BF44F7" w:rsidP="00BF44F7">
      <w:r>
        <w:t xml:space="preserve">If you invest in just one asset class and its value falls, the value of your investment will drop with it. However, by investing in several asset classes, you spread your risk and can offset underperformance in one asset class with positive performance in another. This could help you achieve smoother, more consistent returns over time. </w:t>
      </w:r>
      <w:r w:rsidR="00A35F1D">
        <w:br/>
      </w:r>
      <w:r>
        <w:t>Each asset class has its good and bad times, so while a diversified portfolio will never achieve the top return in any given year, it will never receive the lowest either.</w:t>
      </w:r>
      <w:r w:rsidR="00201E2C">
        <w:br/>
      </w:r>
      <w:r w:rsidR="00201E2C">
        <w:br/>
      </w:r>
      <w:r w:rsidR="00201E2C">
        <w:br/>
      </w:r>
      <w:r w:rsidR="00201E2C">
        <w:br/>
      </w:r>
      <w:r w:rsidR="00201E2C">
        <w:br/>
      </w:r>
      <w:r w:rsidR="00201E2C">
        <w:br/>
      </w:r>
      <w:r w:rsidR="00201E2C">
        <w:br/>
      </w:r>
      <w:r w:rsidR="00201E2C">
        <w:br/>
      </w:r>
      <w:r w:rsidR="00201E2C">
        <w:br/>
      </w:r>
      <w:r w:rsidR="00201E2C">
        <w:br/>
      </w:r>
      <w:r w:rsidR="00201E2C">
        <w:br/>
      </w:r>
      <w:r w:rsidR="00201E2C">
        <w:br/>
      </w:r>
      <w:r w:rsidR="00201E2C">
        <w:br/>
      </w:r>
    </w:p>
    <w:p w14:paraId="7D14B0B7" w14:textId="77777777" w:rsidR="00AC6773" w:rsidRDefault="00AC6773" w:rsidP="00AC6773">
      <w:pPr>
        <w:pStyle w:val="Heading1"/>
      </w:pPr>
      <w:r>
        <w:br w:type="column"/>
      </w:r>
    </w:p>
    <w:p w14:paraId="1DCC4635" w14:textId="22510016" w:rsidR="00BF44F7" w:rsidRDefault="007D53AA" w:rsidP="00BF44F7">
      <w:r>
        <w:br/>
      </w:r>
    </w:p>
    <w:p w14:paraId="40AE1E1E" w14:textId="77777777" w:rsidR="00235352" w:rsidRDefault="00235352" w:rsidP="00BF44F7"/>
    <w:p w14:paraId="72C64DF2" w14:textId="77777777" w:rsidR="00714278" w:rsidRDefault="00714278" w:rsidP="00BF44F7">
      <w:pPr>
        <w:spacing w:line="280" w:lineRule="exact"/>
        <w:rPr>
          <w:rFonts w:cstheme="minorHAnsi"/>
        </w:rPr>
      </w:pPr>
    </w:p>
    <w:p w14:paraId="3CA93014" w14:textId="77777777" w:rsidR="00BF44F7" w:rsidRPr="00DD4B38" w:rsidRDefault="00BF44F7" w:rsidP="00BF44F7">
      <w:pPr>
        <w:spacing w:line="280" w:lineRule="exact"/>
        <w:rPr>
          <w:rFonts w:cstheme="minorHAnsi"/>
        </w:rPr>
        <w:sectPr w:rsidR="00BF44F7" w:rsidRPr="00DD4B38" w:rsidSect="004266E2">
          <w:type w:val="continuous"/>
          <w:pgSz w:w="11907" w:h="16840" w:code="9"/>
          <w:pgMar w:top="680" w:right="680" w:bottom="340" w:left="680" w:header="454" w:footer="340" w:gutter="0"/>
          <w:cols w:num="2" w:space="284"/>
          <w:noEndnote/>
          <w:titlePg/>
          <w:docGrid w:linePitch="272"/>
        </w:sectPr>
      </w:pPr>
    </w:p>
    <w:p w14:paraId="355CC3CC" w14:textId="77777777" w:rsidR="00AC6773" w:rsidRDefault="00AC6773" w:rsidP="00DD21BE"/>
    <w:p w14:paraId="67C7F6C1" w14:textId="77777777" w:rsidR="0014353C" w:rsidRDefault="0014353C" w:rsidP="00DD21BE"/>
    <w:p w14:paraId="55FA59A0" w14:textId="77777777" w:rsidR="0014353C" w:rsidRDefault="0014353C" w:rsidP="00DD21BE"/>
    <w:p w14:paraId="2F0630EA" w14:textId="77777777" w:rsidR="0014353C" w:rsidRDefault="0014353C" w:rsidP="00DD21BE"/>
    <w:p w14:paraId="65D0D48F" w14:textId="77777777" w:rsidR="0014353C" w:rsidRDefault="0014353C" w:rsidP="00DD21BE"/>
    <w:p w14:paraId="5BFB987F" w14:textId="77777777" w:rsidR="0014353C" w:rsidRDefault="0014353C" w:rsidP="00DD21BE"/>
    <w:p w14:paraId="101AA711" w14:textId="77777777" w:rsidR="0014353C" w:rsidRDefault="0014353C" w:rsidP="00DD21BE"/>
    <w:p w14:paraId="1DE5DE7B" w14:textId="77777777" w:rsidR="0014353C" w:rsidRDefault="0014353C" w:rsidP="00DD21BE"/>
    <w:p w14:paraId="6742425F" w14:textId="77777777" w:rsidR="0014353C" w:rsidRDefault="0014353C" w:rsidP="00DD21BE"/>
    <w:p w14:paraId="383C789B" w14:textId="77777777" w:rsidR="0014353C" w:rsidRDefault="0014353C" w:rsidP="00DD21BE"/>
    <w:p w14:paraId="2410184F" w14:textId="77777777" w:rsidR="0014353C" w:rsidRDefault="0014353C" w:rsidP="00DD21BE"/>
    <w:p w14:paraId="355B386A" w14:textId="77777777" w:rsidR="0014353C" w:rsidRDefault="0014353C" w:rsidP="00DD21BE"/>
    <w:p w14:paraId="3D890A95" w14:textId="77777777" w:rsidR="0014353C" w:rsidRDefault="0014353C" w:rsidP="00DD21BE"/>
    <w:p w14:paraId="21859B92" w14:textId="77777777" w:rsidR="0014353C" w:rsidRDefault="0014353C" w:rsidP="00DD21BE"/>
    <w:p w14:paraId="3693075F" w14:textId="77777777" w:rsidR="0014353C" w:rsidRDefault="0014353C" w:rsidP="00DD21BE"/>
    <w:p w14:paraId="1635BDDD" w14:textId="77777777" w:rsidR="0014353C" w:rsidRDefault="0014353C" w:rsidP="00DD21BE"/>
    <w:p w14:paraId="6991E55C" w14:textId="77777777" w:rsidR="0014353C" w:rsidRDefault="0014353C" w:rsidP="00DD21BE"/>
    <w:p w14:paraId="60F20DB4" w14:textId="77777777" w:rsidR="0014353C" w:rsidRDefault="0014353C" w:rsidP="00DD21BE"/>
    <w:p w14:paraId="67AC97C8" w14:textId="77777777" w:rsidR="0014353C" w:rsidRDefault="0014353C" w:rsidP="00DD21BE"/>
    <w:p w14:paraId="552755A3" w14:textId="77777777" w:rsidR="0014353C" w:rsidRDefault="0014353C" w:rsidP="00DD21BE"/>
    <w:p w14:paraId="51CC06FD" w14:textId="77777777" w:rsidR="0014353C" w:rsidRDefault="0014353C" w:rsidP="00DD21BE"/>
    <w:p w14:paraId="5A647653" w14:textId="77777777" w:rsidR="0014353C" w:rsidRDefault="0014353C" w:rsidP="00DD21BE"/>
    <w:p w14:paraId="63D21A73" w14:textId="77777777" w:rsidR="0014353C" w:rsidRDefault="0014353C" w:rsidP="00DD21BE"/>
    <w:p w14:paraId="52F3408E" w14:textId="77777777" w:rsidR="0014353C" w:rsidRDefault="0014353C" w:rsidP="00DD21BE"/>
    <w:p w14:paraId="018EE2C7" w14:textId="77777777" w:rsidR="0014353C" w:rsidRDefault="0014353C" w:rsidP="00DD21BE"/>
    <w:p w14:paraId="1E586F40" w14:textId="77777777" w:rsidR="0014353C" w:rsidRDefault="0014353C" w:rsidP="00DD21BE"/>
    <w:p w14:paraId="3085AFE6" w14:textId="77777777" w:rsidR="0014353C" w:rsidRDefault="0014353C" w:rsidP="00DD21BE"/>
    <w:p w14:paraId="5A00B074" w14:textId="77777777" w:rsidR="0014353C" w:rsidRDefault="0014353C" w:rsidP="00DD21BE"/>
    <w:p w14:paraId="70137AB6" w14:textId="77777777" w:rsidR="0014353C" w:rsidRDefault="0014353C" w:rsidP="00DD21BE"/>
    <w:p w14:paraId="59FF8D96" w14:textId="77777777" w:rsidR="0014353C" w:rsidRDefault="0014353C" w:rsidP="00DD21BE"/>
    <w:p w14:paraId="3E76186C" w14:textId="77777777" w:rsidR="0014353C" w:rsidRDefault="0014353C" w:rsidP="00DD21BE"/>
    <w:p w14:paraId="630D0DFB" w14:textId="77777777" w:rsidR="0014353C" w:rsidRDefault="0014353C" w:rsidP="00DD21BE"/>
    <w:p w14:paraId="1A06CCC1" w14:textId="77777777" w:rsidR="0014353C" w:rsidRDefault="0014353C" w:rsidP="00DD21BE"/>
    <w:p w14:paraId="4E360862" w14:textId="77777777" w:rsidR="0014353C" w:rsidRDefault="0014353C" w:rsidP="00DD21BE"/>
    <w:p w14:paraId="2FF7D9ED" w14:textId="0A70A345" w:rsidR="000B71DD" w:rsidRPr="000B71DD" w:rsidRDefault="000B71DD" w:rsidP="000B71DD">
      <w:pPr>
        <w:autoSpaceDE w:val="0"/>
        <w:autoSpaceDN w:val="0"/>
        <w:rPr>
          <w:rFonts w:asciiTheme="majorHAnsi" w:hAnsiTheme="majorHAnsi" w:cstheme="majorHAnsi"/>
          <w:spacing w:val="0"/>
          <w:sz w:val="16"/>
          <w:szCs w:val="16"/>
          <w:lang w:eastAsia="ko-KR"/>
        </w:rPr>
        <w:sectPr w:rsidR="000B71DD" w:rsidRPr="000B71DD" w:rsidSect="004266E2">
          <w:footerReference w:type="default" r:id="rId13"/>
          <w:headerReference w:type="first" r:id="rId14"/>
          <w:footerReference w:type="first" r:id="rId15"/>
          <w:type w:val="continuous"/>
          <w:pgSz w:w="11907" w:h="16840" w:code="9"/>
          <w:pgMar w:top="680" w:right="680" w:bottom="340" w:left="680" w:header="454" w:footer="340" w:gutter="0"/>
          <w:cols w:space="720"/>
          <w:formProt w:val="0"/>
          <w:noEndnote/>
          <w:titlePg/>
          <w:docGrid w:linePitch="272"/>
        </w:sectPr>
      </w:pP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0"/>
        <w:gridCol w:w="5271"/>
      </w:tblGrid>
      <w:tr w:rsidR="009F0859" w:rsidRPr="009F0859" w14:paraId="04DB7642" w14:textId="77777777" w:rsidTr="002315F5">
        <w:tc>
          <w:tcPr>
            <w:tcW w:w="10541" w:type="dxa"/>
            <w:gridSpan w:val="2"/>
            <w:tcMar>
              <w:top w:w="170" w:type="dxa"/>
              <w:bottom w:w="0" w:type="dxa"/>
            </w:tcMar>
            <w:vAlign w:val="bottom"/>
          </w:tcPr>
          <w:p w14:paraId="3634061E" w14:textId="5329A10E" w:rsidR="009F0859" w:rsidRPr="009F0859" w:rsidRDefault="000B71DD" w:rsidP="003471FE">
            <w:pPr>
              <w:spacing w:before="0" w:after="40"/>
              <w:rPr>
                <w:rFonts w:ascii="Arial" w:hAnsi="Arial"/>
                <w:spacing w:val="-4"/>
                <w:sz w:val="12"/>
                <w:szCs w:val="12"/>
              </w:rPr>
            </w:pPr>
            <w:r>
              <w:rPr>
                <w:b/>
                <w:bCs/>
              </w:rPr>
              <w:t>Important information</w:t>
            </w:r>
            <w:r>
              <w:br/>
            </w:r>
            <w:r w:rsidRPr="000B71DD">
              <w:rPr>
                <w:sz w:val="16"/>
                <w:szCs w:val="20"/>
              </w:rPr>
              <w:t xml:space="preserve">This document has been prepared by Count Financial Limited ABN 19 001 974 625, AFSL 227232. Count </w:t>
            </w:r>
            <w:r w:rsidR="008B7128">
              <w:rPr>
                <w:sz w:val="16"/>
                <w:szCs w:val="20"/>
              </w:rPr>
              <w:t xml:space="preserve">Financial </w:t>
            </w:r>
            <w:r w:rsidRPr="000B71DD">
              <w:rPr>
                <w:sz w:val="16"/>
                <w:szCs w:val="20"/>
              </w:rPr>
              <w:t xml:space="preserve">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rsidRPr="000B71DD">
              <w:rPr>
                <w:sz w:val="16"/>
                <w:szCs w:val="20"/>
              </w:rPr>
              <w:t>at</w:t>
            </w:r>
            <w:proofErr w:type="gramEnd"/>
            <w:r w:rsidRPr="000B71DD">
              <w:rPr>
                <w:sz w:val="16"/>
                <w:szCs w:val="20"/>
              </w:rP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9F0859" w:rsidRPr="009F0859" w14:paraId="03EC98C3" w14:textId="77777777" w:rsidTr="002315F5">
        <w:tc>
          <w:tcPr>
            <w:tcW w:w="5270" w:type="dxa"/>
            <w:tcMar>
              <w:top w:w="170" w:type="dxa"/>
              <w:bottom w:w="0" w:type="dxa"/>
            </w:tcMar>
            <w:vAlign w:val="bottom"/>
          </w:tcPr>
          <w:p w14:paraId="72546EC8" w14:textId="3B9DA154" w:rsidR="009F0859" w:rsidRPr="009F0859" w:rsidRDefault="009F0859" w:rsidP="009F0859">
            <w:pPr>
              <w:spacing w:before="0" w:after="0"/>
              <w:rPr>
                <w:rFonts w:ascii="Arial" w:hAnsi="Arial"/>
                <w:b/>
                <w:spacing w:val="-4"/>
                <w:sz w:val="14"/>
                <w:szCs w:val="14"/>
              </w:rPr>
            </w:pPr>
          </w:p>
        </w:tc>
        <w:tc>
          <w:tcPr>
            <w:tcW w:w="5271" w:type="dxa"/>
            <w:vAlign w:val="bottom"/>
          </w:tcPr>
          <w:p w14:paraId="2C2AE053" w14:textId="77777777" w:rsidR="009F0859" w:rsidRPr="009F0859" w:rsidRDefault="0014353C" w:rsidP="002315F5">
            <w:pPr>
              <w:spacing w:before="0" w:after="0"/>
              <w:jc w:val="right"/>
              <w:rPr>
                <w:rFonts w:ascii="Arial" w:hAnsi="Arial"/>
                <w:b/>
                <w:spacing w:val="-4"/>
                <w:sz w:val="14"/>
                <w:szCs w:val="14"/>
              </w:rPr>
            </w:pPr>
            <w:sdt>
              <w:sdtPr>
                <w:rPr>
                  <w:rFonts w:ascii="Arial" w:hAnsi="Arial"/>
                  <w:b/>
                  <w:spacing w:val="-4"/>
                  <w:sz w:val="14"/>
                  <w:szCs w:val="14"/>
                </w:rPr>
                <w:alias w:val="Insert practice logo"/>
                <w:tag w:val="Insert practice logo"/>
                <w:id w:val="-518625175"/>
                <w:showingPlcHdr/>
                <w:picture/>
              </w:sdtPr>
              <w:sdtEndPr/>
              <w:sdtContent>
                <w:r w:rsidR="009F0859" w:rsidRPr="009F0859">
                  <w:rPr>
                    <w:rFonts w:ascii="Arial" w:hAnsi="Arial"/>
                    <w:b/>
                    <w:noProof/>
                    <w:spacing w:val="-4"/>
                    <w:sz w:val="14"/>
                    <w:szCs w:val="14"/>
                  </w:rPr>
                  <w:drawing>
                    <wp:inline distT="0" distB="0" distL="0" distR="0" wp14:anchorId="7EF1D83D" wp14:editId="1F0198B1">
                      <wp:extent cx="1692000" cy="504000"/>
                      <wp:effectExtent l="0" t="0" r="381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2000" cy="504000"/>
                              </a:xfrm>
                              <a:prstGeom prst="rect">
                                <a:avLst/>
                              </a:prstGeom>
                              <a:noFill/>
                              <a:ln>
                                <a:noFill/>
                              </a:ln>
                            </pic:spPr>
                          </pic:pic>
                        </a:graphicData>
                      </a:graphic>
                    </wp:inline>
                  </w:drawing>
                </w:r>
              </w:sdtContent>
            </w:sdt>
          </w:p>
        </w:tc>
      </w:tr>
    </w:tbl>
    <w:p w14:paraId="26AD24B1" w14:textId="77777777" w:rsidR="009F0859" w:rsidRPr="009F0859" w:rsidRDefault="009F0859" w:rsidP="009F0859">
      <w:pPr>
        <w:spacing w:before="0" w:after="0"/>
        <w:rPr>
          <w:rFonts w:ascii="Arial" w:hAnsi="Arial"/>
          <w:sz w:val="2"/>
          <w:szCs w:val="2"/>
        </w:rPr>
      </w:pPr>
    </w:p>
    <w:p w14:paraId="5B656873" w14:textId="77777777" w:rsidR="00FB2A81" w:rsidRPr="0086264A" w:rsidRDefault="00FB2A81" w:rsidP="0086264A">
      <w:pPr>
        <w:spacing w:before="0" w:after="0"/>
        <w:rPr>
          <w:sz w:val="2"/>
          <w:szCs w:val="2"/>
        </w:rPr>
      </w:pPr>
    </w:p>
    <w:sectPr w:rsidR="00FB2A81" w:rsidRPr="0086264A" w:rsidSect="004266E2">
      <w:footerReference w:type="default" r:id="rId17"/>
      <w:headerReference w:type="first" r:id="rId18"/>
      <w:footerReference w:type="first" r:id="rId19"/>
      <w:type w:val="continuous"/>
      <w:pgSz w:w="11907" w:h="16840" w:code="9"/>
      <w:pgMar w:top="680" w:right="680" w:bottom="340" w:left="680" w:header="454" w:footer="3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160B" w14:textId="77777777" w:rsidR="007172F3" w:rsidRDefault="007172F3" w:rsidP="006D11F8">
      <w:r>
        <w:separator/>
      </w:r>
    </w:p>
  </w:endnote>
  <w:endnote w:type="continuationSeparator" w:id="0">
    <w:p w14:paraId="6090E9E6" w14:textId="77777777" w:rsidR="007172F3" w:rsidRDefault="007172F3" w:rsidP="006D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8E63" w14:textId="77777777" w:rsidR="006D11F8" w:rsidRPr="007C76D3" w:rsidRDefault="006D11F8" w:rsidP="007C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72BF" w14:textId="77777777" w:rsidR="006D11F8" w:rsidRPr="00183019" w:rsidRDefault="006D11F8" w:rsidP="00183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2486E" w14:textId="77777777" w:rsidR="006D11F8" w:rsidRPr="007C76D3" w:rsidRDefault="006D11F8" w:rsidP="007C7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907A" w14:textId="77777777" w:rsidR="006D11F8" w:rsidRPr="00183019" w:rsidRDefault="006D11F8"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C3887" w14:textId="77777777" w:rsidR="007172F3" w:rsidRDefault="007172F3" w:rsidP="002444B6">
      <w:pPr>
        <w:spacing w:before="0" w:after="0"/>
      </w:pPr>
      <w:r>
        <w:separator/>
      </w:r>
    </w:p>
  </w:footnote>
  <w:footnote w:type="continuationSeparator" w:id="0">
    <w:p w14:paraId="29A8229C" w14:textId="77777777" w:rsidR="007172F3" w:rsidRDefault="007172F3" w:rsidP="006D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7271" w14:textId="5DA5199C" w:rsidR="000030D7" w:rsidRDefault="00343448">
    <w:pPr>
      <w:pStyle w:val="Header"/>
    </w:pPr>
    <w:r>
      <w:rPr>
        <w:noProof/>
      </w:rPr>
      <w:drawing>
        <wp:anchor distT="0" distB="0" distL="114300" distR="114300" simplePos="0" relativeHeight="251658240" behindDoc="0" locked="0" layoutInCell="1" allowOverlap="1" wp14:anchorId="57C16475" wp14:editId="21D561C8">
          <wp:simplePos x="0" y="0"/>
          <wp:positionH relativeFrom="column">
            <wp:posOffset>-412751</wp:posOffset>
          </wp:positionH>
          <wp:positionV relativeFrom="paragraph">
            <wp:posOffset>-288290</wp:posOffset>
          </wp:positionV>
          <wp:extent cx="7520385" cy="1647825"/>
          <wp:effectExtent l="0" t="0" r="4445" b="0"/>
          <wp:wrapNone/>
          <wp:docPr id="983119966" name="Picture 983119966"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7988971"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93" cy="165681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36542" w14:textId="77777777" w:rsidR="006D11F8" w:rsidRPr="00587074" w:rsidRDefault="006D11F8" w:rsidP="0058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E28A" w14:textId="77777777" w:rsidR="006D11F8" w:rsidRPr="00587074" w:rsidRDefault="006D11F8"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CC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C8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C84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85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2C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A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AD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25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EC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4088"/>
    <w:multiLevelType w:val="hybridMultilevel"/>
    <w:tmpl w:val="D62283B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523DE8"/>
    <w:multiLevelType w:val="hybridMultilevel"/>
    <w:tmpl w:val="4B06AE7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A63B73"/>
    <w:multiLevelType w:val="hybridMultilevel"/>
    <w:tmpl w:val="F418EC7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AC5D21"/>
    <w:multiLevelType w:val="hybridMultilevel"/>
    <w:tmpl w:val="F63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F7651"/>
    <w:multiLevelType w:val="hybridMultilevel"/>
    <w:tmpl w:val="4A06535E"/>
    <w:lvl w:ilvl="0" w:tplc="18ACBC82">
      <w:start w:val="1"/>
      <w:numFmt w:val="bullet"/>
      <w:lvlText w:val="▪"/>
      <w:lvlJc w:val="left"/>
      <w:pPr>
        <w:tabs>
          <w:tab w:val="num" w:pos="643"/>
        </w:tabs>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03668"/>
    <w:multiLevelType w:val="hybridMultilevel"/>
    <w:tmpl w:val="07408C6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1349E"/>
    <w:multiLevelType w:val="hybridMultilevel"/>
    <w:tmpl w:val="A1EE9138"/>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90160"/>
    <w:multiLevelType w:val="hybridMultilevel"/>
    <w:tmpl w:val="C10EC3B0"/>
    <w:lvl w:ilvl="0" w:tplc="EE5AA0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F71D2C"/>
    <w:multiLevelType w:val="hybridMultilevel"/>
    <w:tmpl w:val="8CC0447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FE46AE"/>
    <w:multiLevelType w:val="hybridMultilevel"/>
    <w:tmpl w:val="A376854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04FF2"/>
    <w:multiLevelType w:val="hybridMultilevel"/>
    <w:tmpl w:val="80FCCAF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0F4968"/>
    <w:multiLevelType w:val="hybridMultilevel"/>
    <w:tmpl w:val="B23E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872E4F"/>
    <w:multiLevelType w:val="hybridMultilevel"/>
    <w:tmpl w:val="7BD62E1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04D48"/>
    <w:multiLevelType w:val="hybridMultilevel"/>
    <w:tmpl w:val="00D6744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F360D"/>
    <w:multiLevelType w:val="hybridMultilevel"/>
    <w:tmpl w:val="A3EE86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26" w15:restartNumberingAfterBreak="0">
    <w:nsid w:val="387E78A6"/>
    <w:multiLevelType w:val="hybridMultilevel"/>
    <w:tmpl w:val="7D0CBD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B7DBE"/>
    <w:multiLevelType w:val="hybridMultilevel"/>
    <w:tmpl w:val="82487E0A"/>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54D6D"/>
    <w:multiLevelType w:val="hybridMultilevel"/>
    <w:tmpl w:val="4768CDB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862348"/>
    <w:multiLevelType w:val="hybridMultilevel"/>
    <w:tmpl w:val="FE1AB86C"/>
    <w:lvl w:ilvl="0" w:tplc="8A1AA2AE">
      <w:start w:val="1"/>
      <w:numFmt w:val="bullet"/>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8B04B9"/>
    <w:multiLevelType w:val="hybridMultilevel"/>
    <w:tmpl w:val="B31815E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04693"/>
    <w:multiLevelType w:val="hybridMultilevel"/>
    <w:tmpl w:val="78C822DA"/>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13978"/>
    <w:multiLevelType w:val="hybridMultilevel"/>
    <w:tmpl w:val="344CB26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920481"/>
    <w:multiLevelType w:val="hybridMultilevel"/>
    <w:tmpl w:val="DBE0AB4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76021A"/>
    <w:multiLevelType w:val="hybridMultilevel"/>
    <w:tmpl w:val="B14C5EF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031597"/>
    <w:multiLevelType w:val="hybridMultilevel"/>
    <w:tmpl w:val="7E0E3ED8"/>
    <w:lvl w:ilvl="0" w:tplc="74A20696">
      <w:start w:val="1"/>
      <w:numFmt w:val="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66896"/>
    <w:multiLevelType w:val="hybridMultilevel"/>
    <w:tmpl w:val="391C54D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7C0C53"/>
    <w:multiLevelType w:val="hybridMultilevel"/>
    <w:tmpl w:val="19B203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832DF"/>
    <w:multiLevelType w:val="hybridMultilevel"/>
    <w:tmpl w:val="9D7E8906"/>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9D0953"/>
    <w:multiLevelType w:val="hybridMultilevel"/>
    <w:tmpl w:val="CC08FE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57BA3"/>
    <w:multiLevelType w:val="hybridMultilevel"/>
    <w:tmpl w:val="E8942614"/>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61C95"/>
    <w:multiLevelType w:val="hybridMultilevel"/>
    <w:tmpl w:val="5AEA3CB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856"/>
    <w:multiLevelType w:val="hybridMultilevel"/>
    <w:tmpl w:val="EACE6E4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AB4AFB"/>
    <w:multiLevelType w:val="hybridMultilevel"/>
    <w:tmpl w:val="CF86E17A"/>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59042005">
    <w:abstractNumId w:val="17"/>
  </w:num>
  <w:num w:numId="2" w16cid:durableId="1303804905">
    <w:abstractNumId w:val="29"/>
  </w:num>
  <w:num w:numId="3" w16cid:durableId="610282053">
    <w:abstractNumId w:val="25"/>
  </w:num>
  <w:num w:numId="4" w16cid:durableId="581137374">
    <w:abstractNumId w:val="36"/>
  </w:num>
  <w:num w:numId="5" w16cid:durableId="962274750">
    <w:abstractNumId w:val="33"/>
  </w:num>
  <w:num w:numId="6" w16cid:durableId="683240828">
    <w:abstractNumId w:val="28"/>
  </w:num>
  <w:num w:numId="7" w16cid:durableId="1623419081">
    <w:abstractNumId w:val="26"/>
  </w:num>
  <w:num w:numId="8" w16cid:durableId="1668095474">
    <w:abstractNumId w:val="16"/>
  </w:num>
  <w:num w:numId="9" w16cid:durableId="1302806537">
    <w:abstractNumId w:val="24"/>
  </w:num>
  <w:num w:numId="10" w16cid:durableId="104732868">
    <w:abstractNumId w:val="22"/>
  </w:num>
  <w:num w:numId="11" w16cid:durableId="1866863639">
    <w:abstractNumId w:val="12"/>
  </w:num>
  <w:num w:numId="12" w16cid:durableId="1448618957">
    <w:abstractNumId w:val="44"/>
  </w:num>
  <w:num w:numId="13" w16cid:durableId="1246501683">
    <w:abstractNumId w:val="41"/>
  </w:num>
  <w:num w:numId="14" w16cid:durableId="1446119231">
    <w:abstractNumId w:val="32"/>
  </w:num>
  <w:num w:numId="15" w16cid:durableId="1181159268">
    <w:abstractNumId w:val="31"/>
  </w:num>
  <w:num w:numId="16" w16cid:durableId="2101830417">
    <w:abstractNumId w:val="10"/>
  </w:num>
  <w:num w:numId="17" w16cid:durableId="1953903801">
    <w:abstractNumId w:val="39"/>
  </w:num>
  <w:num w:numId="18" w16cid:durableId="139663734">
    <w:abstractNumId w:val="35"/>
  </w:num>
  <w:num w:numId="19" w16cid:durableId="214047153">
    <w:abstractNumId w:val="9"/>
  </w:num>
  <w:num w:numId="20" w16cid:durableId="95642833">
    <w:abstractNumId w:val="7"/>
  </w:num>
  <w:num w:numId="21" w16cid:durableId="1701781595">
    <w:abstractNumId w:val="6"/>
  </w:num>
  <w:num w:numId="22" w16cid:durableId="1377318260">
    <w:abstractNumId w:val="5"/>
  </w:num>
  <w:num w:numId="23" w16cid:durableId="1083070349">
    <w:abstractNumId w:val="4"/>
  </w:num>
  <w:num w:numId="24" w16cid:durableId="1189368835">
    <w:abstractNumId w:val="8"/>
  </w:num>
  <w:num w:numId="25" w16cid:durableId="2090077778">
    <w:abstractNumId w:val="3"/>
  </w:num>
  <w:num w:numId="26" w16cid:durableId="628390954">
    <w:abstractNumId w:val="2"/>
  </w:num>
  <w:num w:numId="27" w16cid:durableId="774594971">
    <w:abstractNumId w:val="1"/>
  </w:num>
  <w:num w:numId="28" w16cid:durableId="452670402">
    <w:abstractNumId w:val="0"/>
  </w:num>
  <w:num w:numId="29" w16cid:durableId="2033728914">
    <w:abstractNumId w:val="23"/>
  </w:num>
  <w:num w:numId="30" w16cid:durableId="817069842">
    <w:abstractNumId w:val="43"/>
  </w:num>
  <w:num w:numId="31" w16cid:durableId="440804407">
    <w:abstractNumId w:val="11"/>
  </w:num>
  <w:num w:numId="32" w16cid:durableId="1536498637">
    <w:abstractNumId w:val="18"/>
  </w:num>
  <w:num w:numId="33" w16cid:durableId="1550456423">
    <w:abstractNumId w:val="20"/>
  </w:num>
  <w:num w:numId="34" w16cid:durableId="219483644">
    <w:abstractNumId w:val="38"/>
  </w:num>
  <w:num w:numId="35" w16cid:durableId="1608653119">
    <w:abstractNumId w:val="42"/>
  </w:num>
  <w:num w:numId="36" w16cid:durableId="2112122225">
    <w:abstractNumId w:val="40"/>
  </w:num>
  <w:num w:numId="37" w16cid:durableId="247884264">
    <w:abstractNumId w:val="15"/>
  </w:num>
  <w:num w:numId="38" w16cid:durableId="399063298">
    <w:abstractNumId w:val="37"/>
  </w:num>
  <w:num w:numId="39" w16cid:durableId="605503861">
    <w:abstractNumId w:val="19"/>
  </w:num>
  <w:num w:numId="40" w16cid:durableId="712851139">
    <w:abstractNumId w:val="27"/>
  </w:num>
  <w:num w:numId="41" w16cid:durableId="582034265">
    <w:abstractNumId w:val="30"/>
  </w:num>
  <w:num w:numId="42" w16cid:durableId="1810127093">
    <w:abstractNumId w:val="13"/>
  </w:num>
  <w:num w:numId="43" w16cid:durableId="603927221">
    <w:abstractNumId w:val="21"/>
  </w:num>
  <w:num w:numId="44" w16cid:durableId="808281769">
    <w:abstractNumId w:val="34"/>
  </w:num>
  <w:num w:numId="45" w16cid:durableId="590548825">
    <w:abstractNumId w:val="14"/>
  </w:num>
  <w:num w:numId="46" w16cid:durableId="631057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CAC"/>
    <w:rsid w:val="000030D7"/>
    <w:rsid w:val="0000476C"/>
    <w:rsid w:val="00010AAF"/>
    <w:rsid w:val="000200BD"/>
    <w:rsid w:val="00020FFA"/>
    <w:rsid w:val="00021BF2"/>
    <w:rsid w:val="00023E8E"/>
    <w:rsid w:val="00025158"/>
    <w:rsid w:val="00033266"/>
    <w:rsid w:val="00034579"/>
    <w:rsid w:val="00034D53"/>
    <w:rsid w:val="00043B52"/>
    <w:rsid w:val="000546C3"/>
    <w:rsid w:val="00055DAA"/>
    <w:rsid w:val="00063656"/>
    <w:rsid w:val="000704A0"/>
    <w:rsid w:val="00080473"/>
    <w:rsid w:val="000806B8"/>
    <w:rsid w:val="0008116B"/>
    <w:rsid w:val="00087863"/>
    <w:rsid w:val="00090757"/>
    <w:rsid w:val="0009189B"/>
    <w:rsid w:val="0009209A"/>
    <w:rsid w:val="000A0877"/>
    <w:rsid w:val="000A7BC2"/>
    <w:rsid w:val="000B056A"/>
    <w:rsid w:val="000B17B2"/>
    <w:rsid w:val="000B1ED7"/>
    <w:rsid w:val="000B719B"/>
    <w:rsid w:val="000B71DD"/>
    <w:rsid w:val="000C0D1B"/>
    <w:rsid w:val="000C3D34"/>
    <w:rsid w:val="000D0FA1"/>
    <w:rsid w:val="000E5328"/>
    <w:rsid w:val="000F3918"/>
    <w:rsid w:val="000F7977"/>
    <w:rsid w:val="00111A30"/>
    <w:rsid w:val="00112AE2"/>
    <w:rsid w:val="00114701"/>
    <w:rsid w:val="0012279D"/>
    <w:rsid w:val="00124D1B"/>
    <w:rsid w:val="00125976"/>
    <w:rsid w:val="00126427"/>
    <w:rsid w:val="00126756"/>
    <w:rsid w:val="00130C52"/>
    <w:rsid w:val="00135865"/>
    <w:rsid w:val="00137685"/>
    <w:rsid w:val="00137A29"/>
    <w:rsid w:val="00140B29"/>
    <w:rsid w:val="0014353C"/>
    <w:rsid w:val="00144627"/>
    <w:rsid w:val="00144E16"/>
    <w:rsid w:val="001536AE"/>
    <w:rsid w:val="001547D3"/>
    <w:rsid w:val="001553D0"/>
    <w:rsid w:val="001600B2"/>
    <w:rsid w:val="00170E36"/>
    <w:rsid w:val="0017105D"/>
    <w:rsid w:val="00175845"/>
    <w:rsid w:val="00182856"/>
    <w:rsid w:val="00183019"/>
    <w:rsid w:val="001840AC"/>
    <w:rsid w:val="00186BBE"/>
    <w:rsid w:val="00190791"/>
    <w:rsid w:val="001A1110"/>
    <w:rsid w:val="001A2563"/>
    <w:rsid w:val="001A3F7D"/>
    <w:rsid w:val="001A457D"/>
    <w:rsid w:val="001A7A97"/>
    <w:rsid w:val="001B53F1"/>
    <w:rsid w:val="001B6CB5"/>
    <w:rsid w:val="001C2001"/>
    <w:rsid w:val="001C2004"/>
    <w:rsid w:val="001C4C78"/>
    <w:rsid w:val="001D1397"/>
    <w:rsid w:val="001D1A39"/>
    <w:rsid w:val="001D5EFD"/>
    <w:rsid w:val="001E21D3"/>
    <w:rsid w:val="001E2825"/>
    <w:rsid w:val="001E3E6E"/>
    <w:rsid w:val="001E4CAE"/>
    <w:rsid w:val="001F11F8"/>
    <w:rsid w:val="001F26EA"/>
    <w:rsid w:val="001F4560"/>
    <w:rsid w:val="001F47F8"/>
    <w:rsid w:val="0020079B"/>
    <w:rsid w:val="00201E2C"/>
    <w:rsid w:val="002028E9"/>
    <w:rsid w:val="00205F69"/>
    <w:rsid w:val="002073C8"/>
    <w:rsid w:val="00211478"/>
    <w:rsid w:val="002168A2"/>
    <w:rsid w:val="00220400"/>
    <w:rsid w:val="0022761F"/>
    <w:rsid w:val="0023155E"/>
    <w:rsid w:val="002315F5"/>
    <w:rsid w:val="00234587"/>
    <w:rsid w:val="00235352"/>
    <w:rsid w:val="00236665"/>
    <w:rsid w:val="00237B26"/>
    <w:rsid w:val="002444B6"/>
    <w:rsid w:val="00250463"/>
    <w:rsid w:val="002614F9"/>
    <w:rsid w:val="002633CB"/>
    <w:rsid w:val="00264C91"/>
    <w:rsid w:val="00265E88"/>
    <w:rsid w:val="00267237"/>
    <w:rsid w:val="00270CE9"/>
    <w:rsid w:val="0027101D"/>
    <w:rsid w:val="00271883"/>
    <w:rsid w:val="0027505A"/>
    <w:rsid w:val="0027625C"/>
    <w:rsid w:val="00276777"/>
    <w:rsid w:val="002812B6"/>
    <w:rsid w:val="00284C92"/>
    <w:rsid w:val="002857C5"/>
    <w:rsid w:val="00292EF3"/>
    <w:rsid w:val="002932A8"/>
    <w:rsid w:val="002B5D86"/>
    <w:rsid w:val="002C066F"/>
    <w:rsid w:val="002C515B"/>
    <w:rsid w:val="002D5CFC"/>
    <w:rsid w:val="002E0B86"/>
    <w:rsid w:val="002E420C"/>
    <w:rsid w:val="002E787D"/>
    <w:rsid w:val="0030009A"/>
    <w:rsid w:val="00302FE9"/>
    <w:rsid w:val="00304F36"/>
    <w:rsid w:val="00305B3A"/>
    <w:rsid w:val="00307AA6"/>
    <w:rsid w:val="003114F9"/>
    <w:rsid w:val="00312F9F"/>
    <w:rsid w:val="003130AE"/>
    <w:rsid w:val="00314FA1"/>
    <w:rsid w:val="003162E4"/>
    <w:rsid w:val="0032212A"/>
    <w:rsid w:val="00326422"/>
    <w:rsid w:val="00333E85"/>
    <w:rsid w:val="00343448"/>
    <w:rsid w:val="003471FE"/>
    <w:rsid w:val="00347B15"/>
    <w:rsid w:val="00361A97"/>
    <w:rsid w:val="00364C60"/>
    <w:rsid w:val="00364D77"/>
    <w:rsid w:val="0036552C"/>
    <w:rsid w:val="00366B9A"/>
    <w:rsid w:val="00382103"/>
    <w:rsid w:val="00386A3C"/>
    <w:rsid w:val="003A5079"/>
    <w:rsid w:val="003A5C39"/>
    <w:rsid w:val="003A6D39"/>
    <w:rsid w:val="003B0F58"/>
    <w:rsid w:val="003B4540"/>
    <w:rsid w:val="003C46F1"/>
    <w:rsid w:val="003C7953"/>
    <w:rsid w:val="003D4918"/>
    <w:rsid w:val="003E273A"/>
    <w:rsid w:val="003E37D7"/>
    <w:rsid w:val="003E3894"/>
    <w:rsid w:val="003E7E34"/>
    <w:rsid w:val="003F252A"/>
    <w:rsid w:val="003F27E8"/>
    <w:rsid w:val="003F37ED"/>
    <w:rsid w:val="003F6CFC"/>
    <w:rsid w:val="003F6DAB"/>
    <w:rsid w:val="00400A59"/>
    <w:rsid w:val="00403353"/>
    <w:rsid w:val="0041165E"/>
    <w:rsid w:val="00414F87"/>
    <w:rsid w:val="00420F32"/>
    <w:rsid w:val="00422BD8"/>
    <w:rsid w:val="00423ABE"/>
    <w:rsid w:val="0042572A"/>
    <w:rsid w:val="004266E2"/>
    <w:rsid w:val="00426D18"/>
    <w:rsid w:val="0043323C"/>
    <w:rsid w:val="004411E7"/>
    <w:rsid w:val="0044377A"/>
    <w:rsid w:val="00446B18"/>
    <w:rsid w:val="00451F5A"/>
    <w:rsid w:val="004549CA"/>
    <w:rsid w:val="00462F67"/>
    <w:rsid w:val="00473E33"/>
    <w:rsid w:val="00482A89"/>
    <w:rsid w:val="004864E7"/>
    <w:rsid w:val="004867BE"/>
    <w:rsid w:val="00486E45"/>
    <w:rsid w:val="004922BA"/>
    <w:rsid w:val="00493D94"/>
    <w:rsid w:val="004A05B6"/>
    <w:rsid w:val="004A0D5B"/>
    <w:rsid w:val="004A1819"/>
    <w:rsid w:val="004A3253"/>
    <w:rsid w:val="004A59D6"/>
    <w:rsid w:val="004B1E25"/>
    <w:rsid w:val="004B4A9B"/>
    <w:rsid w:val="004C2F98"/>
    <w:rsid w:val="004C7051"/>
    <w:rsid w:val="004D0110"/>
    <w:rsid w:val="004D32CC"/>
    <w:rsid w:val="004D36F4"/>
    <w:rsid w:val="004E00A8"/>
    <w:rsid w:val="004E27E5"/>
    <w:rsid w:val="004F05BC"/>
    <w:rsid w:val="004F10FE"/>
    <w:rsid w:val="004F7048"/>
    <w:rsid w:val="00500BC5"/>
    <w:rsid w:val="0051072B"/>
    <w:rsid w:val="005165D8"/>
    <w:rsid w:val="005230C5"/>
    <w:rsid w:val="00531C92"/>
    <w:rsid w:val="00533984"/>
    <w:rsid w:val="00536ED9"/>
    <w:rsid w:val="005433D5"/>
    <w:rsid w:val="00543FF3"/>
    <w:rsid w:val="0055547C"/>
    <w:rsid w:val="0055755C"/>
    <w:rsid w:val="00560F74"/>
    <w:rsid w:val="00564126"/>
    <w:rsid w:val="00584990"/>
    <w:rsid w:val="00587074"/>
    <w:rsid w:val="005964A7"/>
    <w:rsid w:val="005A5075"/>
    <w:rsid w:val="005A5415"/>
    <w:rsid w:val="005B5A14"/>
    <w:rsid w:val="005D5F8C"/>
    <w:rsid w:val="005E552C"/>
    <w:rsid w:val="005E75DD"/>
    <w:rsid w:val="005F0345"/>
    <w:rsid w:val="005F3BDC"/>
    <w:rsid w:val="00603C00"/>
    <w:rsid w:val="006107F1"/>
    <w:rsid w:val="00615036"/>
    <w:rsid w:val="006156AF"/>
    <w:rsid w:val="00623D9A"/>
    <w:rsid w:val="006246E1"/>
    <w:rsid w:val="00632270"/>
    <w:rsid w:val="00632278"/>
    <w:rsid w:val="006335C3"/>
    <w:rsid w:val="00636DD3"/>
    <w:rsid w:val="006374D8"/>
    <w:rsid w:val="00640521"/>
    <w:rsid w:val="006478A5"/>
    <w:rsid w:val="006548F5"/>
    <w:rsid w:val="00660A05"/>
    <w:rsid w:val="00660BAC"/>
    <w:rsid w:val="00661533"/>
    <w:rsid w:val="00665069"/>
    <w:rsid w:val="006706B8"/>
    <w:rsid w:val="00671D5E"/>
    <w:rsid w:val="00672227"/>
    <w:rsid w:val="0067588C"/>
    <w:rsid w:val="00677E64"/>
    <w:rsid w:val="00682ACD"/>
    <w:rsid w:val="00686F89"/>
    <w:rsid w:val="00687ACC"/>
    <w:rsid w:val="00691C58"/>
    <w:rsid w:val="00696A3A"/>
    <w:rsid w:val="006975B8"/>
    <w:rsid w:val="006A2169"/>
    <w:rsid w:val="006A4A07"/>
    <w:rsid w:val="006B74C2"/>
    <w:rsid w:val="006C0929"/>
    <w:rsid w:val="006C1F3F"/>
    <w:rsid w:val="006C4266"/>
    <w:rsid w:val="006C6496"/>
    <w:rsid w:val="006D07A9"/>
    <w:rsid w:val="006D11F8"/>
    <w:rsid w:val="006D3598"/>
    <w:rsid w:val="006D6542"/>
    <w:rsid w:val="006E068B"/>
    <w:rsid w:val="006E36E5"/>
    <w:rsid w:val="006E60F2"/>
    <w:rsid w:val="006E6F1C"/>
    <w:rsid w:val="006F2084"/>
    <w:rsid w:val="006F7A6F"/>
    <w:rsid w:val="006F7F12"/>
    <w:rsid w:val="00702643"/>
    <w:rsid w:val="007036BC"/>
    <w:rsid w:val="00706504"/>
    <w:rsid w:val="00706AC2"/>
    <w:rsid w:val="00707041"/>
    <w:rsid w:val="007070EB"/>
    <w:rsid w:val="00707F4B"/>
    <w:rsid w:val="007113F6"/>
    <w:rsid w:val="00714278"/>
    <w:rsid w:val="00716595"/>
    <w:rsid w:val="007172F3"/>
    <w:rsid w:val="00721681"/>
    <w:rsid w:val="0072195D"/>
    <w:rsid w:val="00722A9F"/>
    <w:rsid w:val="00735C95"/>
    <w:rsid w:val="007360EA"/>
    <w:rsid w:val="0073732B"/>
    <w:rsid w:val="00737687"/>
    <w:rsid w:val="00745A43"/>
    <w:rsid w:val="00745E41"/>
    <w:rsid w:val="00746DFF"/>
    <w:rsid w:val="0075037B"/>
    <w:rsid w:val="007550CD"/>
    <w:rsid w:val="00761AB7"/>
    <w:rsid w:val="00762A2F"/>
    <w:rsid w:val="0076313B"/>
    <w:rsid w:val="00765810"/>
    <w:rsid w:val="007759DC"/>
    <w:rsid w:val="00775A58"/>
    <w:rsid w:val="0078383A"/>
    <w:rsid w:val="00783D34"/>
    <w:rsid w:val="00790E71"/>
    <w:rsid w:val="0079214A"/>
    <w:rsid w:val="00792FDC"/>
    <w:rsid w:val="00793785"/>
    <w:rsid w:val="00793A00"/>
    <w:rsid w:val="007A0C69"/>
    <w:rsid w:val="007A1644"/>
    <w:rsid w:val="007A32D4"/>
    <w:rsid w:val="007A3A07"/>
    <w:rsid w:val="007B4DEF"/>
    <w:rsid w:val="007C4C41"/>
    <w:rsid w:val="007C76D3"/>
    <w:rsid w:val="007D0D3E"/>
    <w:rsid w:val="007D53AA"/>
    <w:rsid w:val="007D615D"/>
    <w:rsid w:val="007D64FE"/>
    <w:rsid w:val="007D6B21"/>
    <w:rsid w:val="007E23ED"/>
    <w:rsid w:val="007E7360"/>
    <w:rsid w:val="007F11FA"/>
    <w:rsid w:val="007F7C35"/>
    <w:rsid w:val="0082438A"/>
    <w:rsid w:val="008269BB"/>
    <w:rsid w:val="0083062B"/>
    <w:rsid w:val="0083154E"/>
    <w:rsid w:val="00832DC5"/>
    <w:rsid w:val="00844E24"/>
    <w:rsid w:val="00846321"/>
    <w:rsid w:val="00851A62"/>
    <w:rsid w:val="008528DD"/>
    <w:rsid w:val="00854E1D"/>
    <w:rsid w:val="00856ECF"/>
    <w:rsid w:val="00857AC3"/>
    <w:rsid w:val="0086264A"/>
    <w:rsid w:val="00862B44"/>
    <w:rsid w:val="00863866"/>
    <w:rsid w:val="008647BD"/>
    <w:rsid w:val="00864A56"/>
    <w:rsid w:val="0086544F"/>
    <w:rsid w:val="00867DBB"/>
    <w:rsid w:val="00870755"/>
    <w:rsid w:val="008711BE"/>
    <w:rsid w:val="008768CF"/>
    <w:rsid w:val="008860F6"/>
    <w:rsid w:val="00893F6E"/>
    <w:rsid w:val="00897341"/>
    <w:rsid w:val="008A0507"/>
    <w:rsid w:val="008A1519"/>
    <w:rsid w:val="008A4420"/>
    <w:rsid w:val="008A4BD9"/>
    <w:rsid w:val="008A5CFE"/>
    <w:rsid w:val="008A5D59"/>
    <w:rsid w:val="008B4961"/>
    <w:rsid w:val="008B7128"/>
    <w:rsid w:val="008C0B43"/>
    <w:rsid w:val="008C13D1"/>
    <w:rsid w:val="008C1F3F"/>
    <w:rsid w:val="008C27AE"/>
    <w:rsid w:val="008C3741"/>
    <w:rsid w:val="008C556E"/>
    <w:rsid w:val="008C6092"/>
    <w:rsid w:val="008C7BB8"/>
    <w:rsid w:val="008E7A0D"/>
    <w:rsid w:val="00901335"/>
    <w:rsid w:val="00903833"/>
    <w:rsid w:val="00905590"/>
    <w:rsid w:val="00905635"/>
    <w:rsid w:val="0090612A"/>
    <w:rsid w:val="00907976"/>
    <w:rsid w:val="00911A5E"/>
    <w:rsid w:val="00920117"/>
    <w:rsid w:val="00922A4D"/>
    <w:rsid w:val="009370F3"/>
    <w:rsid w:val="00940E1E"/>
    <w:rsid w:val="009436FA"/>
    <w:rsid w:val="0094661C"/>
    <w:rsid w:val="00950432"/>
    <w:rsid w:val="00963246"/>
    <w:rsid w:val="009633E2"/>
    <w:rsid w:val="00965041"/>
    <w:rsid w:val="00971663"/>
    <w:rsid w:val="009752D5"/>
    <w:rsid w:val="00976592"/>
    <w:rsid w:val="00983818"/>
    <w:rsid w:val="0098455F"/>
    <w:rsid w:val="009856C1"/>
    <w:rsid w:val="0098669A"/>
    <w:rsid w:val="009A2625"/>
    <w:rsid w:val="009B2DA2"/>
    <w:rsid w:val="009B4136"/>
    <w:rsid w:val="009C03DD"/>
    <w:rsid w:val="009C3444"/>
    <w:rsid w:val="009C5AF8"/>
    <w:rsid w:val="009C701B"/>
    <w:rsid w:val="009D3830"/>
    <w:rsid w:val="009E09BF"/>
    <w:rsid w:val="009E1A7C"/>
    <w:rsid w:val="009E2BFF"/>
    <w:rsid w:val="009E45D3"/>
    <w:rsid w:val="009E4FC6"/>
    <w:rsid w:val="009F0859"/>
    <w:rsid w:val="009F4BA7"/>
    <w:rsid w:val="00A02F68"/>
    <w:rsid w:val="00A03EF8"/>
    <w:rsid w:val="00A0516C"/>
    <w:rsid w:val="00A07CE2"/>
    <w:rsid w:val="00A1198D"/>
    <w:rsid w:val="00A160D6"/>
    <w:rsid w:val="00A22291"/>
    <w:rsid w:val="00A22D65"/>
    <w:rsid w:val="00A23526"/>
    <w:rsid w:val="00A311BF"/>
    <w:rsid w:val="00A334B8"/>
    <w:rsid w:val="00A339B5"/>
    <w:rsid w:val="00A34AF6"/>
    <w:rsid w:val="00A35F1D"/>
    <w:rsid w:val="00A41A03"/>
    <w:rsid w:val="00A53E74"/>
    <w:rsid w:val="00A53F7D"/>
    <w:rsid w:val="00A55641"/>
    <w:rsid w:val="00A55819"/>
    <w:rsid w:val="00A56375"/>
    <w:rsid w:val="00A5647D"/>
    <w:rsid w:val="00A56D43"/>
    <w:rsid w:val="00A56FF9"/>
    <w:rsid w:val="00A5781E"/>
    <w:rsid w:val="00A61ED4"/>
    <w:rsid w:val="00A6697C"/>
    <w:rsid w:val="00A71877"/>
    <w:rsid w:val="00A73F97"/>
    <w:rsid w:val="00A75923"/>
    <w:rsid w:val="00A774B9"/>
    <w:rsid w:val="00A82FBB"/>
    <w:rsid w:val="00A847AF"/>
    <w:rsid w:val="00A91EA9"/>
    <w:rsid w:val="00A93F64"/>
    <w:rsid w:val="00A95127"/>
    <w:rsid w:val="00AA04B8"/>
    <w:rsid w:val="00AA19DE"/>
    <w:rsid w:val="00AA50C3"/>
    <w:rsid w:val="00AB21F6"/>
    <w:rsid w:val="00AB2856"/>
    <w:rsid w:val="00AB3AB8"/>
    <w:rsid w:val="00AC0959"/>
    <w:rsid w:val="00AC1F77"/>
    <w:rsid w:val="00AC227B"/>
    <w:rsid w:val="00AC6773"/>
    <w:rsid w:val="00AD37B1"/>
    <w:rsid w:val="00AE00A5"/>
    <w:rsid w:val="00AE178B"/>
    <w:rsid w:val="00AE3C5E"/>
    <w:rsid w:val="00AE52CD"/>
    <w:rsid w:val="00AF3894"/>
    <w:rsid w:val="00AF5B32"/>
    <w:rsid w:val="00AF5C6B"/>
    <w:rsid w:val="00B00D12"/>
    <w:rsid w:val="00B0383A"/>
    <w:rsid w:val="00B03BA0"/>
    <w:rsid w:val="00B058E8"/>
    <w:rsid w:val="00B15D3D"/>
    <w:rsid w:val="00B15DCA"/>
    <w:rsid w:val="00B36E5D"/>
    <w:rsid w:val="00B416FE"/>
    <w:rsid w:val="00B42EB6"/>
    <w:rsid w:val="00B438A4"/>
    <w:rsid w:val="00B439C8"/>
    <w:rsid w:val="00B5470F"/>
    <w:rsid w:val="00B566A8"/>
    <w:rsid w:val="00B6238A"/>
    <w:rsid w:val="00B658AC"/>
    <w:rsid w:val="00B70C82"/>
    <w:rsid w:val="00B778AD"/>
    <w:rsid w:val="00B8330C"/>
    <w:rsid w:val="00B84CAC"/>
    <w:rsid w:val="00B84DD2"/>
    <w:rsid w:val="00B94DAD"/>
    <w:rsid w:val="00BA147B"/>
    <w:rsid w:val="00BA2CDA"/>
    <w:rsid w:val="00BA68EA"/>
    <w:rsid w:val="00BB0500"/>
    <w:rsid w:val="00BB08E0"/>
    <w:rsid w:val="00BB2242"/>
    <w:rsid w:val="00BB440B"/>
    <w:rsid w:val="00BC7238"/>
    <w:rsid w:val="00BD416E"/>
    <w:rsid w:val="00BE015E"/>
    <w:rsid w:val="00BE09E4"/>
    <w:rsid w:val="00BE0A08"/>
    <w:rsid w:val="00BE3EA9"/>
    <w:rsid w:val="00BE459A"/>
    <w:rsid w:val="00BE5DD6"/>
    <w:rsid w:val="00BE7A0B"/>
    <w:rsid w:val="00BF44F7"/>
    <w:rsid w:val="00BF794F"/>
    <w:rsid w:val="00BF79A2"/>
    <w:rsid w:val="00C00C1B"/>
    <w:rsid w:val="00C01529"/>
    <w:rsid w:val="00C0378F"/>
    <w:rsid w:val="00C05BD3"/>
    <w:rsid w:val="00C061AE"/>
    <w:rsid w:val="00C13E1A"/>
    <w:rsid w:val="00C202B8"/>
    <w:rsid w:val="00C20FFD"/>
    <w:rsid w:val="00C21944"/>
    <w:rsid w:val="00C37797"/>
    <w:rsid w:val="00C4613A"/>
    <w:rsid w:val="00C503B2"/>
    <w:rsid w:val="00C612BD"/>
    <w:rsid w:val="00C6704E"/>
    <w:rsid w:val="00C67F65"/>
    <w:rsid w:val="00C7341E"/>
    <w:rsid w:val="00C77DDA"/>
    <w:rsid w:val="00C827AB"/>
    <w:rsid w:val="00C850C4"/>
    <w:rsid w:val="00C85EC7"/>
    <w:rsid w:val="00C87BBA"/>
    <w:rsid w:val="00C90248"/>
    <w:rsid w:val="00C9270E"/>
    <w:rsid w:val="00CA6217"/>
    <w:rsid w:val="00CA6FC4"/>
    <w:rsid w:val="00CA7164"/>
    <w:rsid w:val="00CA7468"/>
    <w:rsid w:val="00CB0BA8"/>
    <w:rsid w:val="00CB6E5E"/>
    <w:rsid w:val="00CB7DB5"/>
    <w:rsid w:val="00CC010A"/>
    <w:rsid w:val="00CC1BC6"/>
    <w:rsid w:val="00CD1438"/>
    <w:rsid w:val="00CD4BD1"/>
    <w:rsid w:val="00CD52F2"/>
    <w:rsid w:val="00CD76C0"/>
    <w:rsid w:val="00CE3EE2"/>
    <w:rsid w:val="00CE7A87"/>
    <w:rsid w:val="00CF06BD"/>
    <w:rsid w:val="00CF4F3D"/>
    <w:rsid w:val="00CF7056"/>
    <w:rsid w:val="00CF72AD"/>
    <w:rsid w:val="00D004CB"/>
    <w:rsid w:val="00D103B3"/>
    <w:rsid w:val="00D120E1"/>
    <w:rsid w:val="00D12F98"/>
    <w:rsid w:val="00D158EA"/>
    <w:rsid w:val="00D222E9"/>
    <w:rsid w:val="00D23123"/>
    <w:rsid w:val="00D24E65"/>
    <w:rsid w:val="00D31EFB"/>
    <w:rsid w:val="00D36583"/>
    <w:rsid w:val="00D37121"/>
    <w:rsid w:val="00D57ECF"/>
    <w:rsid w:val="00D6469B"/>
    <w:rsid w:val="00D64B96"/>
    <w:rsid w:val="00D732D9"/>
    <w:rsid w:val="00D73E25"/>
    <w:rsid w:val="00D8434B"/>
    <w:rsid w:val="00D84DC3"/>
    <w:rsid w:val="00D85231"/>
    <w:rsid w:val="00D87FD8"/>
    <w:rsid w:val="00D90D9A"/>
    <w:rsid w:val="00D9179B"/>
    <w:rsid w:val="00D937AE"/>
    <w:rsid w:val="00D9592A"/>
    <w:rsid w:val="00DA0D6B"/>
    <w:rsid w:val="00DA2583"/>
    <w:rsid w:val="00DA4533"/>
    <w:rsid w:val="00DB1695"/>
    <w:rsid w:val="00DC041C"/>
    <w:rsid w:val="00DC3386"/>
    <w:rsid w:val="00DC3970"/>
    <w:rsid w:val="00DC5C61"/>
    <w:rsid w:val="00DD21BE"/>
    <w:rsid w:val="00DD440A"/>
    <w:rsid w:val="00DD4B38"/>
    <w:rsid w:val="00DD6DC0"/>
    <w:rsid w:val="00DE4213"/>
    <w:rsid w:val="00DF0EF6"/>
    <w:rsid w:val="00DF17D2"/>
    <w:rsid w:val="00DF2CD2"/>
    <w:rsid w:val="00DF735D"/>
    <w:rsid w:val="00E000A2"/>
    <w:rsid w:val="00E17C72"/>
    <w:rsid w:val="00E30C3B"/>
    <w:rsid w:val="00E31001"/>
    <w:rsid w:val="00E33169"/>
    <w:rsid w:val="00E34C55"/>
    <w:rsid w:val="00E45E04"/>
    <w:rsid w:val="00E46122"/>
    <w:rsid w:val="00E53696"/>
    <w:rsid w:val="00E614E2"/>
    <w:rsid w:val="00E64030"/>
    <w:rsid w:val="00E6625F"/>
    <w:rsid w:val="00E76685"/>
    <w:rsid w:val="00E802B0"/>
    <w:rsid w:val="00E84BB3"/>
    <w:rsid w:val="00E8750D"/>
    <w:rsid w:val="00E92EB2"/>
    <w:rsid w:val="00EA112D"/>
    <w:rsid w:val="00EA638B"/>
    <w:rsid w:val="00EB1DD7"/>
    <w:rsid w:val="00EB63E4"/>
    <w:rsid w:val="00EB7A7F"/>
    <w:rsid w:val="00ED5269"/>
    <w:rsid w:val="00ED73FD"/>
    <w:rsid w:val="00EE76AD"/>
    <w:rsid w:val="00EF31DC"/>
    <w:rsid w:val="00EF4BB0"/>
    <w:rsid w:val="00F01AA6"/>
    <w:rsid w:val="00F01FEC"/>
    <w:rsid w:val="00F023A3"/>
    <w:rsid w:val="00F05AED"/>
    <w:rsid w:val="00F05FF9"/>
    <w:rsid w:val="00F13803"/>
    <w:rsid w:val="00F17533"/>
    <w:rsid w:val="00F254C3"/>
    <w:rsid w:val="00F31083"/>
    <w:rsid w:val="00F35DD4"/>
    <w:rsid w:val="00F41370"/>
    <w:rsid w:val="00F423B0"/>
    <w:rsid w:val="00F4782C"/>
    <w:rsid w:val="00F547CA"/>
    <w:rsid w:val="00F5581D"/>
    <w:rsid w:val="00F67C59"/>
    <w:rsid w:val="00F73150"/>
    <w:rsid w:val="00F8271C"/>
    <w:rsid w:val="00F84D2B"/>
    <w:rsid w:val="00F8786F"/>
    <w:rsid w:val="00F87D24"/>
    <w:rsid w:val="00FA219B"/>
    <w:rsid w:val="00FA4768"/>
    <w:rsid w:val="00FA5E83"/>
    <w:rsid w:val="00FB1051"/>
    <w:rsid w:val="00FB2A81"/>
    <w:rsid w:val="00FB566E"/>
    <w:rsid w:val="00FC03BE"/>
    <w:rsid w:val="00FC5E8C"/>
    <w:rsid w:val="00FC7C30"/>
    <w:rsid w:val="00FD213C"/>
    <w:rsid w:val="00FD5E27"/>
    <w:rsid w:val="00FE6FE3"/>
    <w:rsid w:val="00FF27EA"/>
    <w:rsid w:val="00FF7216"/>
  </w:rsids>
  <m:mathPr>
    <m:mathFont m:val="Cambria Math"/>
    <m:brkBin m:val="before"/>
    <m:brkBinSub m:val="--"/>
    <m:smallFrac m:val="0"/>
    <m:dispDef m:val="0"/>
    <m:lMargin m:val="0"/>
    <m:rMargin m:val="0"/>
    <m:defJc m:val="centerGroup"/>
    <m:wrapRight/>
    <m:intLim m:val="subSup"/>
    <m:naryLim m:val="subSup"/>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9F581"/>
  <w15:docId w15:val="{2AD041F6-7B21-45B7-8778-5A9B518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117"/>
    <w:pPr>
      <w:spacing w:before="120" w:after="120"/>
    </w:pPr>
    <w:rPr>
      <w:rFonts w:asciiTheme="minorHAnsi" w:eastAsia="Times New Roman" w:hAnsiTheme="minorHAnsi"/>
      <w:spacing w:val="-2"/>
      <w:szCs w:val="24"/>
    </w:rPr>
  </w:style>
  <w:style w:type="paragraph" w:styleId="Heading1">
    <w:name w:val="heading 1"/>
    <w:basedOn w:val="Normal"/>
    <w:next w:val="Normal"/>
    <w:link w:val="Heading1Char"/>
    <w:uiPriority w:val="1"/>
    <w:qFormat/>
    <w:rsid w:val="00867DBB"/>
    <w:pPr>
      <w:keepNext/>
      <w:keepLines/>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1"/>
    <w:qFormat/>
    <w:rsid w:val="00451F5A"/>
    <w:pPr>
      <w:keepNext/>
      <w:keepLines/>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623D9A"/>
    <w:pPr>
      <w:keepNext/>
      <w:keepLines/>
      <w:contextualSpacing/>
      <w:outlineLvl w:val="2"/>
    </w:pPr>
    <w:rPr>
      <w:rFonts w:asciiTheme="majorHAnsi" w:eastAsiaTheme="majorEastAsia" w:hAnsiTheme="majorHAnsi" w:cstheme="majorBidi"/>
      <w:b/>
      <w:bCs/>
      <w:sz w:val="18"/>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9F0859"/>
    <w:pPr>
      <w:spacing w:before="0" w:after="360"/>
    </w:pPr>
    <w:rPr>
      <w:noProof/>
      <w:sz w:val="28"/>
      <w:szCs w:val="28"/>
      <w:lang w:eastAsia="en-AU"/>
    </w:rPr>
  </w:style>
  <w:style w:type="paragraph" w:styleId="Header">
    <w:name w:val="header"/>
    <w:basedOn w:val="Normal"/>
    <w:rsid w:val="00587074"/>
    <w:pPr>
      <w:tabs>
        <w:tab w:val="center" w:pos="4153"/>
        <w:tab w:val="right" w:pos="8306"/>
      </w:tabs>
      <w:spacing w:before="0" w:after="0"/>
    </w:pPr>
  </w:style>
  <w:style w:type="paragraph" w:styleId="Footer">
    <w:name w:val="footer"/>
    <w:basedOn w:val="Normal"/>
    <w:link w:val="FooterChar"/>
    <w:rsid w:val="00183019"/>
    <w:pPr>
      <w:tabs>
        <w:tab w:val="center" w:pos="4153"/>
        <w:tab w:val="right" w:pos="8306"/>
      </w:tabs>
      <w:spacing w:before="0" w:after="0"/>
      <w:jc w:val="right"/>
    </w:pPr>
    <w:rPr>
      <w:sz w:val="14"/>
    </w:rPr>
  </w:style>
  <w:style w:type="paragraph" w:customStyle="1" w:styleId="Source">
    <w:name w:val="Source"/>
    <w:basedOn w:val="Normal"/>
    <w:next w:val="Normal"/>
    <w:uiPriority w:val="99"/>
    <w:qFormat/>
    <w:rsid w:val="00623D9A"/>
    <w:pPr>
      <w:spacing w:before="40" w:after="40"/>
      <w:ind w:left="142" w:hanging="142"/>
    </w:pPr>
    <w:rPr>
      <w:rFonts w:cstheme="minorHAnsi"/>
      <w:sz w:val="14"/>
      <w:szCs w:val="14"/>
    </w:rPr>
  </w:style>
  <w:style w:type="table" w:styleId="MediumShading1-Accent1">
    <w:name w:val="Medium Shading 1 Accent 1"/>
    <w:aliases w:val="Default table design"/>
    <w:basedOn w:val="TableNormal"/>
    <w:uiPriority w:val="63"/>
    <w:rsid w:val="00DA4533"/>
    <w:rPr>
      <w:rFonts w:asciiTheme="minorHAnsi" w:hAnsiTheme="minorHAnsi"/>
      <w:sz w:val="18"/>
    </w:rPr>
    <w:tblPr>
      <w:tblStyleRowBandSize w:val="1"/>
      <w:tblStyleColBandSize w:val="1"/>
      <w:tblInd w:w="85" w:type="dxa"/>
      <w:tblBorders>
        <w:top w:val="single" w:sz="4" w:space="0" w:color="ECECEC"/>
        <w:bottom w:val="single" w:sz="4" w:space="0" w:color="ECECEC"/>
        <w:insideH w:val="single" w:sz="4" w:space="0" w:color="ECECEC"/>
      </w:tblBorders>
      <w:tblCellMar>
        <w:top w:w="28" w:type="dxa"/>
        <w:left w:w="85" w:type="dxa"/>
        <w:bottom w:w="28" w:type="dxa"/>
        <w:right w:w="85" w:type="dxa"/>
      </w:tblCellMar>
    </w:tblPr>
    <w:tblStylePr w:type="firstRow">
      <w:pPr>
        <w:spacing w:before="0" w:after="0" w:line="240" w:lineRule="auto"/>
      </w:pPr>
      <w:rPr>
        <w:b/>
        <w:bCs/>
        <w:color w:val="000000" w:themeColor="text1"/>
      </w:rPr>
      <w:tblPr/>
      <w:tcPr>
        <w:shd w:val="clear" w:color="auto" w:fill="ECECEC"/>
      </w:tcPr>
    </w:tblStylePr>
    <w:tblStylePr w:type="lastRow">
      <w:pPr>
        <w:spacing w:before="0" w:after="0" w:line="240" w:lineRule="auto"/>
      </w:pPr>
      <w:rPr>
        <w:b/>
        <w:bCs/>
      </w:rPr>
      <w:tblPr/>
      <w:tcPr>
        <w:shd w:val="clear" w:color="auto" w:fill="F2F2F2" w:themeFill="background1" w:themeFillShade="F2"/>
      </w:tcPr>
    </w:tblStylePr>
    <w:tblStylePr w:type="firstCol">
      <w:rPr>
        <w:b/>
        <w:bCs/>
      </w:rPr>
      <w:tblPr/>
      <w:tcPr>
        <w:shd w:val="clear" w:color="auto" w:fill="ECECEC"/>
      </w:tcPr>
    </w:tblStylePr>
    <w:tblStylePr w:type="lastCol">
      <w:rPr>
        <w:b/>
        <w:bCs/>
      </w:rPr>
    </w:tblStylePr>
    <w:tblStylePr w:type="band2Horz">
      <w:tblPr/>
      <w:tcPr>
        <w:shd w:val="clear" w:color="auto" w:fill="ECECEC"/>
      </w:tcPr>
    </w:tblStylePr>
  </w:style>
  <w:style w:type="character" w:styleId="Hyperlink">
    <w:name w:val="Hyperlink"/>
    <w:uiPriority w:val="99"/>
    <w:rsid w:val="00857AC3"/>
    <w:rPr>
      <w:b/>
      <w:color w:val="1B396A" w:themeColor="accent1"/>
      <w:u w:val="none"/>
    </w:rPr>
  </w:style>
  <w:style w:type="paragraph" w:styleId="Date">
    <w:name w:val="Date"/>
    <w:basedOn w:val="Normal"/>
    <w:next w:val="Normal"/>
    <w:link w:val="DateChar"/>
    <w:uiPriority w:val="2"/>
    <w:rsid w:val="00783D34"/>
    <w:pPr>
      <w:spacing w:before="0" w:after="0"/>
      <w:jc w:val="right"/>
    </w:pPr>
    <w:rPr>
      <w:b/>
      <w:color w:val="1B396A"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1B396A"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414F87"/>
    <w:pPr>
      <w:spacing w:before="0" w:after="60"/>
    </w:pPr>
    <w:rPr>
      <w:spacing w:val="-4"/>
      <w:sz w:val="14"/>
      <w:szCs w:val="14"/>
      <w:lang w:eastAsia="en-AU"/>
    </w:rPr>
  </w:style>
  <w:style w:type="paragraph" w:customStyle="1" w:styleId="Signoff">
    <w:name w:val="Sign off"/>
    <w:basedOn w:val="Normal"/>
    <w:uiPriority w:val="99"/>
    <w:rsid w:val="00D158EA"/>
    <w:pPr>
      <w:spacing w:before="0" w:after="0"/>
    </w:pPr>
    <w:rPr>
      <w:sz w:val="22"/>
      <w:szCs w:val="22"/>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672227"/>
    <w:pPr>
      <w:ind w:left="720"/>
    </w:pPr>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semiHidden/>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451F5A"/>
    <w:rPr>
      <w:rFonts w:asciiTheme="majorHAnsi" w:eastAsiaTheme="majorEastAsia" w:hAnsiTheme="majorHAnsi" w:cstheme="majorBidi"/>
      <w:b/>
      <w:bCs/>
      <w:spacing w:val="-2"/>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183019"/>
    <w:rPr>
      <w:rFonts w:asciiTheme="minorHAnsi" w:eastAsia="Times New Roman" w:hAnsiTheme="minorHAnsi"/>
      <w:spacing w:val="-2"/>
      <w:sz w:val="14"/>
      <w:szCs w:val="24"/>
    </w:rPr>
  </w:style>
  <w:style w:type="character" w:customStyle="1" w:styleId="Heading1Char">
    <w:name w:val="Heading 1 Char"/>
    <w:basedOn w:val="DefaultParagraphFont"/>
    <w:link w:val="Heading1"/>
    <w:uiPriority w:val="1"/>
    <w:rsid w:val="00867DB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1"/>
    <w:rsid w:val="00623D9A"/>
    <w:rPr>
      <w:rFonts w:asciiTheme="majorHAnsi" w:eastAsiaTheme="majorEastAsia" w:hAnsiTheme="majorHAnsi" w:cstheme="majorBidi"/>
      <w:b/>
      <w:bCs/>
      <w:spacing w:val="-2"/>
      <w:sz w:val="18"/>
      <w:szCs w:val="24"/>
    </w:rPr>
  </w:style>
  <w:style w:type="paragraph" w:styleId="ListBullet">
    <w:name w:val="List Bullet"/>
    <w:basedOn w:val="Normal"/>
    <w:qFormat/>
    <w:rsid w:val="00426D18"/>
    <w:pPr>
      <w:numPr>
        <w:numId w:val="44"/>
      </w:numPr>
      <w:spacing w:before="40" w:after="40"/>
    </w:pPr>
  </w:style>
  <w:style w:type="paragraph" w:styleId="Subtitle">
    <w:name w:val="Subtitle"/>
    <w:basedOn w:val="Normal"/>
    <w:next w:val="Normal"/>
    <w:link w:val="SubtitleChar"/>
    <w:rsid w:val="009F0859"/>
    <w:pPr>
      <w:spacing w:before="0" w:after="0" w:line="216" w:lineRule="auto"/>
    </w:pPr>
    <w:rPr>
      <w:color w:val="FFFFFF" w:themeColor="background1"/>
      <w:spacing w:val="-10"/>
      <w:sz w:val="28"/>
      <w:szCs w:val="22"/>
    </w:rPr>
  </w:style>
  <w:style w:type="character" w:customStyle="1" w:styleId="SubtitleChar">
    <w:name w:val="Subtitle Char"/>
    <w:basedOn w:val="DefaultParagraphFont"/>
    <w:link w:val="Subtitle"/>
    <w:rsid w:val="009F0859"/>
    <w:rPr>
      <w:rFonts w:asciiTheme="minorHAnsi" w:eastAsia="Times New Roman" w:hAnsiTheme="minorHAnsi"/>
      <w:color w:val="FFFFFF" w:themeColor="background1"/>
      <w:spacing w:val="-10"/>
      <w:sz w:val="28"/>
      <w:szCs w:val="22"/>
    </w:rPr>
  </w:style>
  <w:style w:type="paragraph" w:styleId="Title">
    <w:name w:val="Title"/>
    <w:basedOn w:val="Normal"/>
    <w:next w:val="Normal"/>
    <w:link w:val="TitleChar"/>
    <w:rsid w:val="009F0859"/>
    <w:pPr>
      <w:spacing w:before="0" w:after="0" w:line="204" w:lineRule="auto"/>
    </w:pPr>
    <w:rPr>
      <w:color w:val="FFFFFF" w:themeColor="background1"/>
      <w:spacing w:val="-20"/>
      <w:sz w:val="60"/>
      <w:szCs w:val="52"/>
    </w:rPr>
  </w:style>
  <w:style w:type="character" w:customStyle="1" w:styleId="TitleChar">
    <w:name w:val="Title Char"/>
    <w:basedOn w:val="DefaultParagraphFont"/>
    <w:link w:val="Title"/>
    <w:rsid w:val="009F0859"/>
    <w:rPr>
      <w:rFonts w:asciiTheme="minorHAnsi" w:eastAsia="Times New Roman" w:hAnsiTheme="minorHAnsi"/>
      <w:color w:val="FFFFFF" w:themeColor="background1"/>
      <w:spacing w:val="-20"/>
      <w:sz w:val="60"/>
      <w:szCs w:val="52"/>
    </w:rPr>
  </w:style>
  <w:style w:type="paragraph" w:styleId="ListBullet2">
    <w:name w:val="List Bullet 2"/>
    <w:basedOn w:val="Normal"/>
    <w:qFormat/>
    <w:rsid w:val="00426D18"/>
    <w:pPr>
      <w:numPr>
        <w:ilvl w:val="1"/>
        <w:numId w:val="44"/>
      </w:num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29235062">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384573855">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2959054">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78377929">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973414351">
      <w:bodyDiv w:val="1"/>
      <w:marLeft w:val="0"/>
      <w:marRight w:val="0"/>
      <w:marTop w:val="0"/>
      <w:marBottom w:val="0"/>
      <w:divBdr>
        <w:top w:val="none" w:sz="0" w:space="0" w:color="auto"/>
        <w:left w:val="none" w:sz="0" w:space="0" w:color="auto"/>
        <w:bottom w:val="none" w:sz="0" w:space="0" w:color="auto"/>
        <w:right w:val="none" w:sz="0" w:space="0" w:color="auto"/>
      </w:divBdr>
    </w:div>
    <w:div w:id="1061101201">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562723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unt Fact File">
      <a:dk1>
        <a:sysClr val="windowText" lastClr="000000"/>
      </a:dk1>
      <a:lt1>
        <a:sysClr val="window" lastClr="FFFFFF"/>
      </a:lt1>
      <a:dk2>
        <a:srgbClr val="1B396A"/>
      </a:dk2>
      <a:lt2>
        <a:srgbClr val="FFFFFF"/>
      </a:lt2>
      <a:accent1>
        <a:srgbClr val="1B396A"/>
      </a:accent1>
      <a:accent2>
        <a:srgbClr val="A9BBCC"/>
      </a:accent2>
      <a:accent3>
        <a:srgbClr val="D9861C"/>
      </a:accent3>
      <a:accent4>
        <a:srgbClr val="EEC216"/>
      </a:accent4>
      <a:accent5>
        <a:srgbClr val="3F3F3F"/>
      </a:accent5>
      <a:accent6>
        <a:srgbClr val="7F7F7F"/>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Props1.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2.xml><?xml version="1.0" encoding="utf-8"?>
<ds:datastoreItem xmlns:ds="http://schemas.openxmlformats.org/officeDocument/2006/customXml" ds:itemID="{F4E4D0D6-DF4F-4182-86BE-E3EF06FEE2BD}">
  <ds:schemaRefs>
    <ds:schemaRef ds:uri="http://schemas.openxmlformats.org/officeDocument/2006/bibliography"/>
  </ds:schemaRefs>
</ds:datastoreItem>
</file>

<file path=customXml/itemProps3.xml><?xml version="1.0" encoding="utf-8"?>
<ds:datastoreItem xmlns:ds="http://schemas.openxmlformats.org/officeDocument/2006/customXml" ds:itemID="{43AE6A98-9F3B-4C56-8FC9-317A9D662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97884903-a30f-431d-8d90-f33171442c10"/>
    <ds:schemaRef ds:uri="http://schemas.microsoft.com/office/infopath/2007/PartnerControls"/>
    <ds:schemaRef ds:uri="aa738544-32a4-411c-8186-5d55981d2b6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FW Factfile</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Count-Investment-Fundamentals</dc:title>
  <dc:creator>kim reeves</dc:creator>
  <cp:lastModifiedBy>Adam Ludeke</cp:lastModifiedBy>
  <cp:revision>4</cp:revision>
  <cp:lastPrinted>2020-07-06T02:58:00Z</cp:lastPrinted>
  <dcterms:created xsi:type="dcterms:W3CDTF">2023-08-17T00:43:00Z</dcterms:created>
  <dcterms:modified xsi:type="dcterms:W3CDTF">2023-08-31T04:52:00Z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4929800</vt:r8>
  </property>
  <property fmtid="{D5CDD505-2E9C-101B-9397-08002B2CF9AE}" pid="4" name="MediaServiceImageTags">
    <vt:lpwstr/>
  </property>
  <property fmtid="{D5CDD505-2E9C-101B-9397-08002B2CF9AE}" pid="5" name="GrammarlyDocumentId">
    <vt:lpwstr>c0ce548dc29c9acc2481562f7bb7399a450b63e0bab89d5e60f52df693deea23</vt:lpwstr>
  </property>
</Properties>
</file>