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A7CC" w14:textId="77777777" w:rsidR="004E1AC7" w:rsidRPr="004E1AC7" w:rsidRDefault="004E1AC7" w:rsidP="004E1AC7">
      <w:pPr>
        <w:pStyle w:val="Intro"/>
        <w:tabs>
          <w:tab w:val="left" w:pos="3127"/>
        </w:tabs>
        <w:sectPr w:rsidR="004E1AC7" w:rsidRPr="004E1AC7" w:rsidSect="004266E2">
          <w:headerReference w:type="first" r:id="rId11"/>
          <w:type w:val="continuous"/>
          <w:pgSz w:w="11907" w:h="16840" w:code="9"/>
          <w:pgMar w:top="680" w:right="680" w:bottom="340" w:left="680" w:header="454" w:footer="340" w:gutter="0"/>
          <w:cols w:space="720"/>
          <w:formProt w:val="0"/>
          <w:noEndnote/>
          <w:titlePg/>
          <w:docGrid w:linePitch="272"/>
        </w:sectPr>
      </w:pPr>
    </w:p>
    <w:p w14:paraId="48B6CC0A" w14:textId="77777777" w:rsidR="00C77EBC" w:rsidRDefault="00C77EBC" w:rsidP="001840AC">
      <w:pPr>
        <w:pStyle w:val="Intro"/>
      </w:pPr>
    </w:p>
    <w:p w14:paraId="4E185260" w14:textId="77777777" w:rsidR="00C77EBC" w:rsidRDefault="00C77EBC" w:rsidP="001840AC">
      <w:pPr>
        <w:pStyle w:val="Intro"/>
      </w:pPr>
    </w:p>
    <w:p w14:paraId="70D70053" w14:textId="77777777" w:rsidR="00C77EBC" w:rsidRDefault="00C77EBC" w:rsidP="001840AC">
      <w:pPr>
        <w:pStyle w:val="Intro"/>
      </w:pPr>
    </w:p>
    <w:p w14:paraId="5EE6FFCB" w14:textId="161CFB07" w:rsidR="00897341" w:rsidRPr="001840AC" w:rsidRDefault="00D178EF" w:rsidP="001840AC">
      <w:pPr>
        <w:pStyle w:val="Intro"/>
      </w:pPr>
      <w:r w:rsidRPr="00D178EF">
        <w:t>Many investors become concerned when volatility occurs in global financial markets – particularly about the impact on their superannuation and other investments. In times like these, it is important to understand the causes of market movements and how to minimise your risk</w:t>
      </w:r>
      <w:r w:rsidR="00737687" w:rsidRPr="001840AC">
        <w:t xml:space="preserve">. </w:t>
      </w:r>
    </w:p>
    <w:p w14:paraId="5EF001E9" w14:textId="77777777" w:rsidR="00135865" w:rsidRDefault="00135865" w:rsidP="001840AC">
      <w:pPr>
        <w:pStyle w:val="ListParagraph"/>
        <w:ind w:left="360"/>
        <w:rPr>
          <w:rFonts w:ascii="Verdana" w:hAnsi="Verdana" w:cstheme="minorHAnsi"/>
          <w:b/>
        </w:rPr>
        <w:sectPr w:rsidR="00135865" w:rsidSect="004266E2">
          <w:type w:val="continuous"/>
          <w:pgSz w:w="11907" w:h="16840" w:code="9"/>
          <w:pgMar w:top="680" w:right="680" w:bottom="340" w:left="680" w:header="454" w:footer="340" w:gutter="0"/>
          <w:cols w:space="720"/>
          <w:noEndnote/>
          <w:titlePg/>
          <w:docGrid w:linePitch="272"/>
        </w:sectPr>
      </w:pPr>
    </w:p>
    <w:p w14:paraId="38862874" w14:textId="77777777" w:rsidR="00D178EF" w:rsidRDefault="00D178EF" w:rsidP="00D178EF">
      <w:pPr>
        <w:pStyle w:val="Heading1"/>
      </w:pPr>
      <w:r>
        <w:t>Why do markets move so much?</w:t>
      </w:r>
    </w:p>
    <w:p w14:paraId="0DCAB7B2" w14:textId="07EDC4EB" w:rsidR="00D178EF" w:rsidRDefault="00D178EF" w:rsidP="00D178EF">
      <w:r>
        <w:t xml:space="preserve">Markets are influenced by many things – industrial, economic, political and social factors can all have an impact. For example, consumer and business confidence affect spending and therefore company profits. Global trade and production naturally affect economic growth. Poor political and fiscal decisions in some countries may lead to a flow-on effect in other countries </w:t>
      </w:r>
      <w:r w:rsidR="00FA0DCD">
        <w:t>that</w:t>
      </w:r>
      <w:r>
        <w:t xml:space="preserve"> are owed money. And of course, natural disasters can cause major damage to any economy with no warning. During times of market volatility, it’s important to remember one of the fundamental principles of investing – markets move </w:t>
      </w:r>
      <w:r w:rsidR="009A5E4D">
        <w:br/>
      </w:r>
      <w:r>
        <w:t>in cycles.</w:t>
      </w:r>
    </w:p>
    <w:p w14:paraId="34F5DB11" w14:textId="77777777" w:rsidR="00D178EF" w:rsidRDefault="00D178EF" w:rsidP="00D178EF">
      <w:pPr>
        <w:pStyle w:val="Heading1"/>
      </w:pPr>
      <w:r>
        <w:t>Current economic outlook</w:t>
      </w:r>
    </w:p>
    <w:p w14:paraId="56E1E5E1" w14:textId="3E4CB844" w:rsidR="00D178EF" w:rsidRDefault="00D178EF" w:rsidP="00D178EF">
      <w:r>
        <w:t xml:space="preserve">Global share markets have experienced considerable volatility since the global financial crisis, although there have been bouts of stronger returns. Volatility has been driven by factors including the </w:t>
      </w:r>
      <w:r w:rsidR="001F3589">
        <w:t>impacts of COVID-19</w:t>
      </w:r>
      <w:r w:rsidR="004E14FE">
        <w:t xml:space="preserve"> and associated</w:t>
      </w:r>
      <w:r w:rsidR="001F3589">
        <w:t xml:space="preserve"> </w:t>
      </w:r>
      <w:r w:rsidR="004E14FE">
        <w:t>supply chain issues</w:t>
      </w:r>
      <w:r w:rsidR="00994E4C">
        <w:t xml:space="preserve"> and</w:t>
      </w:r>
      <w:r w:rsidR="004E14FE">
        <w:t xml:space="preserve"> </w:t>
      </w:r>
      <w:r w:rsidR="001F3589">
        <w:t>the Russian invasion of Ukraine</w:t>
      </w:r>
      <w:r w:rsidR="00994E4C">
        <w:t>.</w:t>
      </w:r>
    </w:p>
    <w:p w14:paraId="333CC640" w14:textId="1632130B" w:rsidR="00D178EF" w:rsidRDefault="00D178EF" w:rsidP="00D178EF">
      <w:r>
        <w:t xml:space="preserve">These factors have flowed into the Australian share market where a number of home grown issues have also created volatility. These include </w:t>
      </w:r>
      <w:r w:rsidR="009D2029">
        <w:t>increased inflation</w:t>
      </w:r>
      <w:r>
        <w:t>,</w:t>
      </w:r>
      <w:r w:rsidR="00620FB4">
        <w:t xml:space="preserve"> rising interest rates </w:t>
      </w:r>
      <w:r>
        <w:t>and political uncertainty.</w:t>
      </w:r>
    </w:p>
    <w:p w14:paraId="3D8E531A" w14:textId="77777777" w:rsidR="00D178EF" w:rsidRDefault="001528EF" w:rsidP="00D178EF">
      <w:pPr>
        <w:pStyle w:val="Heading1"/>
      </w:pPr>
      <w:r>
        <w:t>What is the effect of market</w:t>
      </w:r>
      <w:r w:rsidR="009957BF">
        <w:t xml:space="preserve"> </w:t>
      </w:r>
      <w:r w:rsidR="00D178EF">
        <w:t>movements on investment returns?</w:t>
      </w:r>
    </w:p>
    <w:p w14:paraId="35E1A3D4" w14:textId="6A728964" w:rsidR="00012A5F" w:rsidRDefault="00D178EF" w:rsidP="00846108">
      <w:pPr>
        <w:rPr>
          <w:b/>
          <w:bCs/>
        </w:rPr>
      </w:pPr>
      <w:r>
        <w:t>The table below shows the effect of market volatility on different asset classes for one, three, five</w:t>
      </w:r>
      <w:r w:rsidR="009B415A">
        <w:t>, 10</w:t>
      </w:r>
      <w:r>
        <w:t xml:space="preserve"> and 20 year periods. Looking closely, we can see over 20 years, returns across all asset classes are positive.</w:t>
      </w:r>
      <w:r w:rsidR="00916267">
        <w:br/>
      </w:r>
      <w:r w:rsidR="00916267">
        <w:br/>
      </w:r>
      <w:r w:rsidR="00916267">
        <w:br/>
      </w:r>
      <w:r w:rsidR="00916267">
        <w:br/>
      </w:r>
      <w:r w:rsidR="00916267">
        <w:br/>
      </w:r>
      <w:r w:rsidR="00916267">
        <w:br/>
      </w:r>
      <w:r w:rsidR="00916267">
        <w:br/>
      </w:r>
      <w:r w:rsidR="00916267">
        <w:br/>
      </w:r>
    </w:p>
    <w:p w14:paraId="1934B14C" w14:textId="77777777" w:rsidR="00012A5F" w:rsidRDefault="00012A5F" w:rsidP="00846108">
      <w:pPr>
        <w:rPr>
          <w:b/>
          <w:bCs/>
        </w:rPr>
      </w:pPr>
    </w:p>
    <w:p w14:paraId="4557DC66" w14:textId="77777777" w:rsidR="00012A5F" w:rsidRDefault="00012A5F" w:rsidP="00846108">
      <w:pPr>
        <w:rPr>
          <w:b/>
          <w:bCs/>
        </w:rPr>
      </w:pPr>
    </w:p>
    <w:p w14:paraId="144E5F34" w14:textId="77777777" w:rsidR="00012A5F" w:rsidRDefault="00012A5F" w:rsidP="00846108">
      <w:pPr>
        <w:rPr>
          <w:b/>
          <w:bCs/>
        </w:rPr>
      </w:pPr>
    </w:p>
    <w:p w14:paraId="2C5F1424" w14:textId="77777777" w:rsidR="00012A5F" w:rsidRDefault="00012A5F" w:rsidP="00846108">
      <w:pPr>
        <w:rPr>
          <w:b/>
          <w:bCs/>
        </w:rPr>
      </w:pPr>
    </w:p>
    <w:p w14:paraId="1816DBB9" w14:textId="3F28FE50" w:rsidR="00E46039" w:rsidRDefault="00846108" w:rsidP="00846108">
      <w:r>
        <w:rPr>
          <w:b/>
          <w:bCs/>
        </w:rPr>
        <w:br/>
      </w:r>
      <w:r w:rsidR="00FD52D6">
        <w:rPr>
          <w:b/>
          <w:bCs/>
        </w:rPr>
        <w:br/>
      </w:r>
      <w:r w:rsidR="00E46039" w:rsidRPr="00846108">
        <w:rPr>
          <w:b/>
          <w:bCs/>
        </w:rPr>
        <w:t>Asset clas</w:t>
      </w:r>
      <w:r w:rsidR="00AD5DC8">
        <w:rPr>
          <w:b/>
          <w:bCs/>
        </w:rPr>
        <w:t xml:space="preserve">s returns as </w:t>
      </w:r>
      <w:proofErr w:type="gramStart"/>
      <w:r w:rsidR="00AD5DC8">
        <w:rPr>
          <w:b/>
          <w:bCs/>
        </w:rPr>
        <w:t>at</w:t>
      </w:r>
      <w:proofErr w:type="gramEnd"/>
      <w:r w:rsidR="00AD5DC8">
        <w:rPr>
          <w:b/>
          <w:bCs/>
        </w:rPr>
        <w:t xml:space="preserve"> </w:t>
      </w:r>
      <w:r w:rsidR="00BC6D91">
        <w:rPr>
          <w:b/>
          <w:bCs/>
        </w:rPr>
        <w:t xml:space="preserve">31 </w:t>
      </w:r>
      <w:r w:rsidR="001D5CDF">
        <w:rPr>
          <w:b/>
          <w:bCs/>
        </w:rPr>
        <w:t>December</w:t>
      </w:r>
      <w:r w:rsidR="00191E74">
        <w:rPr>
          <w:b/>
          <w:bCs/>
        </w:rPr>
        <w:t xml:space="preserve"> 20</w:t>
      </w:r>
      <w:r w:rsidR="00E25520">
        <w:rPr>
          <w:b/>
          <w:bCs/>
        </w:rPr>
        <w:t>2</w:t>
      </w:r>
      <w:r w:rsidR="0060674D">
        <w:rPr>
          <w:b/>
          <w:bCs/>
        </w:rPr>
        <w:t>2</w:t>
      </w:r>
      <w:r w:rsidR="00C25AD0">
        <w:rPr>
          <w:b/>
          <w:bCs/>
        </w:rPr>
        <w:br/>
      </w:r>
    </w:p>
    <w:tbl>
      <w:tblPr>
        <w:tblStyle w:val="MediumShading1-Accent1"/>
        <w:tblW w:w="5302" w:type="dxa"/>
        <w:tblLayout w:type="fixed"/>
        <w:tblLook w:val="0420" w:firstRow="1" w:lastRow="0" w:firstColumn="0" w:lastColumn="0" w:noHBand="0" w:noVBand="1"/>
      </w:tblPr>
      <w:tblGrid>
        <w:gridCol w:w="1333"/>
        <w:gridCol w:w="709"/>
        <w:gridCol w:w="850"/>
        <w:gridCol w:w="851"/>
        <w:gridCol w:w="708"/>
        <w:gridCol w:w="851"/>
      </w:tblGrid>
      <w:tr w:rsidR="00716DA7" w:rsidRPr="00E46039" w14:paraId="62BF5A3C" w14:textId="77777777" w:rsidTr="00A410DE">
        <w:trPr>
          <w:cnfStyle w:val="100000000000" w:firstRow="1" w:lastRow="0" w:firstColumn="0" w:lastColumn="0" w:oddVBand="0" w:evenVBand="0" w:oddHBand="0" w:evenHBand="0" w:firstRowFirstColumn="0" w:firstRowLastColumn="0" w:lastRowFirstColumn="0" w:lastRowLastColumn="0"/>
          <w:trHeight w:val="60"/>
        </w:trPr>
        <w:tc>
          <w:tcPr>
            <w:tcW w:w="1333" w:type="dxa"/>
          </w:tcPr>
          <w:p w14:paraId="3FF8026D" w14:textId="4CC4E25E" w:rsidR="00A53BA6" w:rsidRPr="00E46039" w:rsidRDefault="00A53BA6" w:rsidP="00E46039">
            <w:pPr>
              <w:pStyle w:val="TableText"/>
              <w:rPr>
                <w:lang w:val="en-US"/>
              </w:rPr>
            </w:pPr>
            <w:r w:rsidRPr="00E46039">
              <w:rPr>
                <w:lang w:val="en-US"/>
              </w:rPr>
              <w:t>Annual</w:t>
            </w:r>
            <w:r>
              <w:rPr>
                <w:lang w:val="en-US"/>
              </w:rPr>
              <w:t>ised</w:t>
            </w:r>
            <w:r w:rsidRPr="00E46039">
              <w:rPr>
                <w:lang w:val="en-US"/>
              </w:rPr>
              <w:t xml:space="preserve"> Performance</w:t>
            </w:r>
            <w:r>
              <w:rPr>
                <w:lang w:val="en-US"/>
              </w:rPr>
              <w:t xml:space="preserve"> (%)</w:t>
            </w:r>
          </w:p>
        </w:tc>
        <w:tc>
          <w:tcPr>
            <w:tcW w:w="709" w:type="dxa"/>
          </w:tcPr>
          <w:p w14:paraId="1BAB9670" w14:textId="3B14CAB5" w:rsidR="00A53BA6" w:rsidRPr="00E46039" w:rsidRDefault="00A53BA6" w:rsidP="00A53BA6">
            <w:pPr>
              <w:pStyle w:val="TableText"/>
              <w:rPr>
                <w:lang w:val="en-US"/>
              </w:rPr>
            </w:pPr>
            <w:r>
              <w:rPr>
                <w:lang w:val="en-US"/>
              </w:rPr>
              <w:t>1 year</w:t>
            </w:r>
          </w:p>
        </w:tc>
        <w:tc>
          <w:tcPr>
            <w:tcW w:w="850" w:type="dxa"/>
          </w:tcPr>
          <w:p w14:paraId="20B71045" w14:textId="77777777" w:rsidR="00A53BA6" w:rsidRPr="00E46039" w:rsidRDefault="00A53BA6" w:rsidP="00A53BA6">
            <w:pPr>
              <w:pStyle w:val="TableText"/>
              <w:rPr>
                <w:lang w:val="en-US"/>
              </w:rPr>
            </w:pPr>
            <w:r>
              <w:rPr>
                <w:lang w:val="en-US"/>
              </w:rPr>
              <w:t>3 years</w:t>
            </w:r>
          </w:p>
        </w:tc>
        <w:tc>
          <w:tcPr>
            <w:tcW w:w="851" w:type="dxa"/>
          </w:tcPr>
          <w:p w14:paraId="29F7E8C8" w14:textId="77777777" w:rsidR="00A53BA6" w:rsidRPr="00E46039" w:rsidRDefault="00A53BA6" w:rsidP="00A53BA6">
            <w:pPr>
              <w:pStyle w:val="TableText"/>
              <w:rPr>
                <w:lang w:val="en-US"/>
              </w:rPr>
            </w:pPr>
            <w:r>
              <w:rPr>
                <w:lang w:val="en-US"/>
              </w:rPr>
              <w:t>5 years</w:t>
            </w:r>
          </w:p>
        </w:tc>
        <w:tc>
          <w:tcPr>
            <w:tcW w:w="708" w:type="dxa"/>
          </w:tcPr>
          <w:p w14:paraId="423C600E" w14:textId="527BD8EE" w:rsidR="00A53BA6" w:rsidRDefault="00A53BA6" w:rsidP="00A53BA6">
            <w:pPr>
              <w:pStyle w:val="TableText"/>
              <w:rPr>
                <w:lang w:val="en-US"/>
              </w:rPr>
            </w:pPr>
            <w:r>
              <w:rPr>
                <w:lang w:val="en-US"/>
              </w:rPr>
              <w:t>10 y</w:t>
            </w:r>
            <w:r w:rsidR="00A410DE">
              <w:rPr>
                <w:lang w:val="en-US"/>
              </w:rPr>
              <w:t>r</w:t>
            </w:r>
            <w:r>
              <w:rPr>
                <w:lang w:val="en-US"/>
              </w:rPr>
              <w:t>s</w:t>
            </w:r>
          </w:p>
        </w:tc>
        <w:tc>
          <w:tcPr>
            <w:tcW w:w="851" w:type="dxa"/>
          </w:tcPr>
          <w:p w14:paraId="26A9FF99" w14:textId="3EF0226A" w:rsidR="00A53BA6" w:rsidRPr="00E46039" w:rsidRDefault="00A53BA6" w:rsidP="00716DA7">
            <w:pPr>
              <w:pStyle w:val="TableText"/>
              <w:rPr>
                <w:lang w:val="en-US"/>
              </w:rPr>
            </w:pPr>
            <w:r>
              <w:rPr>
                <w:lang w:val="en-US"/>
              </w:rPr>
              <w:t>20 yrs</w:t>
            </w:r>
          </w:p>
        </w:tc>
      </w:tr>
      <w:tr w:rsidR="00716DA7" w:rsidRPr="00E46039" w14:paraId="57960B6E" w14:textId="77777777" w:rsidTr="00A410DE">
        <w:trPr>
          <w:trHeight w:val="60"/>
        </w:trPr>
        <w:tc>
          <w:tcPr>
            <w:tcW w:w="1333" w:type="dxa"/>
            <w:vAlign w:val="center"/>
          </w:tcPr>
          <w:p w14:paraId="61F59ED7" w14:textId="583335C6" w:rsidR="00A53BA6" w:rsidRDefault="00A53BA6" w:rsidP="001D5CDF">
            <w:pPr>
              <w:pStyle w:val="TableText"/>
              <w:rPr>
                <w:rFonts w:ascii="Calibri" w:hAnsi="Calibri"/>
              </w:rPr>
            </w:pPr>
            <w:r>
              <w:rPr>
                <w:rFonts w:ascii="Arial" w:hAnsi="Arial" w:cs="Arial"/>
                <w:lang w:val="en-US"/>
              </w:rPr>
              <w:t>Australian equity</w:t>
            </w:r>
          </w:p>
        </w:tc>
        <w:tc>
          <w:tcPr>
            <w:tcW w:w="709" w:type="dxa"/>
            <w:vAlign w:val="center"/>
          </w:tcPr>
          <w:p w14:paraId="26DB7F4A" w14:textId="1BF94F17" w:rsidR="00A53BA6" w:rsidRDefault="00E16A28" w:rsidP="00A53BA6">
            <w:r>
              <w:rPr>
                <w:rFonts w:ascii="Arial" w:hAnsi="Arial" w:cs="Arial"/>
                <w:szCs w:val="18"/>
              </w:rPr>
              <w:t>-1.08</w:t>
            </w:r>
          </w:p>
        </w:tc>
        <w:tc>
          <w:tcPr>
            <w:tcW w:w="850" w:type="dxa"/>
            <w:vAlign w:val="center"/>
          </w:tcPr>
          <w:p w14:paraId="4DAF03E9" w14:textId="5399C3F8" w:rsidR="00A53BA6" w:rsidRDefault="00E271DA" w:rsidP="00A53BA6">
            <w:r>
              <w:rPr>
                <w:rFonts w:ascii="Arial" w:hAnsi="Arial" w:cs="Arial"/>
                <w:szCs w:val="18"/>
              </w:rPr>
              <w:t>5.55</w:t>
            </w:r>
          </w:p>
        </w:tc>
        <w:tc>
          <w:tcPr>
            <w:tcW w:w="851" w:type="dxa"/>
            <w:vAlign w:val="center"/>
          </w:tcPr>
          <w:p w14:paraId="4E35ED2B" w14:textId="1CE38FA3" w:rsidR="00A53BA6" w:rsidRDefault="00A110A5" w:rsidP="00A53BA6">
            <w:r>
              <w:rPr>
                <w:rFonts w:ascii="Arial" w:hAnsi="Arial" w:cs="Arial"/>
                <w:szCs w:val="18"/>
              </w:rPr>
              <w:t>7.11</w:t>
            </w:r>
          </w:p>
        </w:tc>
        <w:tc>
          <w:tcPr>
            <w:tcW w:w="708" w:type="dxa"/>
          </w:tcPr>
          <w:p w14:paraId="353DC988" w14:textId="5C319036" w:rsidR="00A53BA6" w:rsidRDefault="00932322" w:rsidP="001D5CDF">
            <w:pPr>
              <w:rPr>
                <w:rFonts w:ascii="Arial" w:hAnsi="Arial" w:cs="Arial"/>
                <w:szCs w:val="18"/>
              </w:rPr>
            </w:pPr>
            <w:r>
              <w:rPr>
                <w:rFonts w:ascii="Arial" w:hAnsi="Arial" w:cs="Arial"/>
                <w:szCs w:val="18"/>
              </w:rPr>
              <w:t>8.66</w:t>
            </w:r>
          </w:p>
        </w:tc>
        <w:tc>
          <w:tcPr>
            <w:tcW w:w="851" w:type="dxa"/>
            <w:vAlign w:val="center"/>
          </w:tcPr>
          <w:p w14:paraId="05D85734" w14:textId="6A11766D" w:rsidR="00A53BA6" w:rsidRDefault="00A53BA6" w:rsidP="001D5CDF">
            <w:r>
              <w:rPr>
                <w:rFonts w:ascii="Arial" w:hAnsi="Arial" w:cs="Arial"/>
                <w:szCs w:val="18"/>
              </w:rPr>
              <w:t>8.</w:t>
            </w:r>
            <w:r w:rsidR="00C21BAE">
              <w:rPr>
                <w:rFonts w:ascii="Arial" w:hAnsi="Arial" w:cs="Arial"/>
                <w:szCs w:val="18"/>
              </w:rPr>
              <w:t>89</w:t>
            </w:r>
          </w:p>
        </w:tc>
      </w:tr>
      <w:tr w:rsidR="00716DA7" w:rsidRPr="00E46039" w14:paraId="56DA45B2" w14:textId="77777777" w:rsidTr="00A410DE">
        <w:trPr>
          <w:cnfStyle w:val="000000010000" w:firstRow="0" w:lastRow="0" w:firstColumn="0" w:lastColumn="0" w:oddVBand="0" w:evenVBand="0" w:oddHBand="0" w:evenHBand="1" w:firstRowFirstColumn="0" w:firstRowLastColumn="0" w:lastRowFirstColumn="0" w:lastRowLastColumn="0"/>
          <w:trHeight w:val="60"/>
        </w:trPr>
        <w:tc>
          <w:tcPr>
            <w:tcW w:w="1333" w:type="dxa"/>
            <w:vAlign w:val="center"/>
          </w:tcPr>
          <w:p w14:paraId="324154E0" w14:textId="1A22B9BC" w:rsidR="00A53BA6" w:rsidRDefault="00A53BA6" w:rsidP="001D5CDF">
            <w:pPr>
              <w:pStyle w:val="TableText"/>
            </w:pPr>
            <w:r>
              <w:rPr>
                <w:rFonts w:ascii="Arial" w:hAnsi="Arial" w:cs="Arial"/>
                <w:lang w:val="en-US"/>
              </w:rPr>
              <w:t>International equity</w:t>
            </w:r>
          </w:p>
        </w:tc>
        <w:tc>
          <w:tcPr>
            <w:tcW w:w="709" w:type="dxa"/>
            <w:vAlign w:val="center"/>
          </w:tcPr>
          <w:p w14:paraId="0F61EE05" w14:textId="2B17ED19" w:rsidR="00A53BA6" w:rsidRDefault="00E16A28" w:rsidP="00A53BA6">
            <w:r>
              <w:rPr>
                <w:rFonts w:ascii="Arial" w:hAnsi="Arial" w:cs="Arial"/>
                <w:szCs w:val="18"/>
              </w:rPr>
              <w:t>-12.08</w:t>
            </w:r>
          </w:p>
        </w:tc>
        <w:tc>
          <w:tcPr>
            <w:tcW w:w="850" w:type="dxa"/>
            <w:vAlign w:val="center"/>
          </w:tcPr>
          <w:p w14:paraId="3AF4E4B9" w14:textId="4501251C" w:rsidR="00A53BA6" w:rsidRDefault="00E271DA" w:rsidP="00A53BA6">
            <w:r>
              <w:t>6.74</w:t>
            </w:r>
          </w:p>
        </w:tc>
        <w:tc>
          <w:tcPr>
            <w:tcW w:w="851" w:type="dxa"/>
            <w:vAlign w:val="center"/>
          </w:tcPr>
          <w:p w14:paraId="5FF75BCE" w14:textId="65A868BD" w:rsidR="00A53BA6" w:rsidRDefault="00A110A5" w:rsidP="00A53BA6">
            <w:r>
              <w:t>9.26</w:t>
            </w:r>
          </w:p>
        </w:tc>
        <w:tc>
          <w:tcPr>
            <w:tcW w:w="708" w:type="dxa"/>
          </w:tcPr>
          <w:p w14:paraId="21CDEF15" w14:textId="1928D364" w:rsidR="00A53BA6" w:rsidRDefault="00932322" w:rsidP="001D5CDF">
            <w:pPr>
              <w:rPr>
                <w:rFonts w:ascii="Arial" w:hAnsi="Arial" w:cs="Arial"/>
                <w:szCs w:val="18"/>
              </w:rPr>
            </w:pPr>
            <w:r>
              <w:rPr>
                <w:rFonts w:ascii="Arial" w:hAnsi="Arial" w:cs="Arial"/>
                <w:szCs w:val="18"/>
              </w:rPr>
              <w:t>13.75</w:t>
            </w:r>
          </w:p>
        </w:tc>
        <w:tc>
          <w:tcPr>
            <w:tcW w:w="851" w:type="dxa"/>
            <w:vAlign w:val="center"/>
          </w:tcPr>
          <w:p w14:paraId="2F89DC6E" w14:textId="36787152" w:rsidR="00A53BA6" w:rsidRDefault="00A53BA6" w:rsidP="001D5CDF">
            <w:r>
              <w:rPr>
                <w:rFonts w:ascii="Arial" w:hAnsi="Arial" w:cs="Arial"/>
                <w:szCs w:val="18"/>
              </w:rPr>
              <w:t>7.</w:t>
            </w:r>
            <w:r w:rsidR="00C21BAE">
              <w:rPr>
                <w:rFonts w:ascii="Arial" w:hAnsi="Arial" w:cs="Arial"/>
                <w:szCs w:val="18"/>
              </w:rPr>
              <w:t>15</w:t>
            </w:r>
          </w:p>
        </w:tc>
      </w:tr>
      <w:tr w:rsidR="00716DA7" w:rsidRPr="00E46039" w14:paraId="08520D4D" w14:textId="77777777" w:rsidTr="00A410DE">
        <w:trPr>
          <w:trHeight w:val="60"/>
        </w:trPr>
        <w:tc>
          <w:tcPr>
            <w:tcW w:w="1333" w:type="dxa"/>
            <w:vAlign w:val="center"/>
          </w:tcPr>
          <w:p w14:paraId="0EB0A06C" w14:textId="504E8980" w:rsidR="00A53BA6" w:rsidRDefault="000E5920" w:rsidP="001D5CDF">
            <w:pPr>
              <w:pStyle w:val="TableText"/>
            </w:pPr>
            <w:r>
              <w:rPr>
                <w:rFonts w:ascii="Arial" w:hAnsi="Arial" w:cs="Arial"/>
                <w:lang w:val="en-US"/>
              </w:rPr>
              <w:t>Australian</w:t>
            </w:r>
            <w:r w:rsidR="00A53BA6">
              <w:rPr>
                <w:rFonts w:ascii="Arial" w:hAnsi="Arial" w:cs="Arial"/>
                <w:lang w:val="en-US"/>
              </w:rPr>
              <w:t xml:space="preserve"> REITS</w:t>
            </w:r>
          </w:p>
        </w:tc>
        <w:tc>
          <w:tcPr>
            <w:tcW w:w="709" w:type="dxa"/>
            <w:vAlign w:val="center"/>
          </w:tcPr>
          <w:p w14:paraId="29071226" w14:textId="16773127" w:rsidR="00A53BA6" w:rsidRDefault="00E16A28" w:rsidP="00A53BA6">
            <w:r>
              <w:rPr>
                <w:rFonts w:ascii="Arial" w:hAnsi="Arial" w:cs="Arial"/>
                <w:szCs w:val="18"/>
              </w:rPr>
              <w:t>-20.06</w:t>
            </w:r>
          </w:p>
        </w:tc>
        <w:tc>
          <w:tcPr>
            <w:tcW w:w="850" w:type="dxa"/>
            <w:vAlign w:val="center"/>
          </w:tcPr>
          <w:p w14:paraId="0F4FF727" w14:textId="1CDE9A80" w:rsidR="00A53BA6" w:rsidRDefault="00E271DA" w:rsidP="00A53BA6">
            <w:r>
              <w:rPr>
                <w:rFonts w:ascii="Arial" w:hAnsi="Arial" w:cs="Arial"/>
                <w:szCs w:val="18"/>
              </w:rPr>
              <w:t>-0.83</w:t>
            </w:r>
          </w:p>
        </w:tc>
        <w:tc>
          <w:tcPr>
            <w:tcW w:w="851" w:type="dxa"/>
            <w:vAlign w:val="center"/>
          </w:tcPr>
          <w:p w14:paraId="09C94141" w14:textId="44905C7D" w:rsidR="00A53BA6" w:rsidRDefault="00A110A5" w:rsidP="00A53BA6">
            <w:r>
              <w:rPr>
                <w:rFonts w:ascii="Arial" w:hAnsi="Arial" w:cs="Arial"/>
                <w:szCs w:val="18"/>
              </w:rPr>
              <w:t>3.79</w:t>
            </w:r>
          </w:p>
        </w:tc>
        <w:tc>
          <w:tcPr>
            <w:tcW w:w="708" w:type="dxa"/>
          </w:tcPr>
          <w:p w14:paraId="2CDB45C5" w14:textId="2E6001A6" w:rsidR="00A53BA6" w:rsidRDefault="00932322" w:rsidP="001D5CDF">
            <w:pPr>
              <w:rPr>
                <w:rFonts w:ascii="Arial" w:hAnsi="Arial" w:cs="Arial"/>
                <w:szCs w:val="18"/>
              </w:rPr>
            </w:pPr>
            <w:r>
              <w:rPr>
                <w:rFonts w:ascii="Arial" w:hAnsi="Arial" w:cs="Arial"/>
                <w:szCs w:val="18"/>
              </w:rPr>
              <w:t>8.48</w:t>
            </w:r>
          </w:p>
        </w:tc>
        <w:tc>
          <w:tcPr>
            <w:tcW w:w="851" w:type="dxa"/>
            <w:vAlign w:val="center"/>
          </w:tcPr>
          <w:p w14:paraId="08D902EE" w14:textId="247C6B01" w:rsidR="00A53BA6" w:rsidRDefault="00C21BAE" w:rsidP="001D5CDF">
            <w:r>
              <w:rPr>
                <w:rFonts w:ascii="Arial" w:hAnsi="Arial" w:cs="Arial"/>
                <w:szCs w:val="18"/>
              </w:rPr>
              <w:t>5.39</w:t>
            </w:r>
          </w:p>
        </w:tc>
      </w:tr>
      <w:tr w:rsidR="00716DA7" w:rsidRPr="00E46039" w14:paraId="1977C8C1" w14:textId="77777777" w:rsidTr="00A410DE">
        <w:trPr>
          <w:cnfStyle w:val="000000010000" w:firstRow="0" w:lastRow="0" w:firstColumn="0" w:lastColumn="0" w:oddVBand="0" w:evenVBand="0" w:oddHBand="0" w:evenHBand="1" w:firstRowFirstColumn="0" w:firstRowLastColumn="0" w:lastRowFirstColumn="0" w:lastRowLastColumn="0"/>
          <w:trHeight w:val="60"/>
        </w:trPr>
        <w:tc>
          <w:tcPr>
            <w:tcW w:w="1333" w:type="dxa"/>
            <w:vAlign w:val="center"/>
          </w:tcPr>
          <w:p w14:paraId="4ED4F639" w14:textId="77777777" w:rsidR="00A53BA6" w:rsidRDefault="00A53BA6" w:rsidP="001D5CDF">
            <w:pPr>
              <w:pStyle w:val="TableText"/>
            </w:pPr>
            <w:r>
              <w:rPr>
                <w:rFonts w:ascii="Arial" w:hAnsi="Arial" w:cs="Arial"/>
                <w:lang w:val="en-US"/>
              </w:rPr>
              <w:t>Australian Fixed Interest</w:t>
            </w:r>
          </w:p>
        </w:tc>
        <w:tc>
          <w:tcPr>
            <w:tcW w:w="709" w:type="dxa"/>
            <w:vAlign w:val="center"/>
          </w:tcPr>
          <w:p w14:paraId="5AF6CBD6" w14:textId="33675392" w:rsidR="00A53BA6" w:rsidRDefault="00A53BA6" w:rsidP="00A53BA6">
            <w:r>
              <w:rPr>
                <w:rFonts w:ascii="Arial" w:hAnsi="Arial" w:cs="Arial"/>
                <w:szCs w:val="18"/>
              </w:rPr>
              <w:t>-</w:t>
            </w:r>
            <w:r w:rsidR="00E16A28">
              <w:rPr>
                <w:rFonts w:ascii="Arial" w:hAnsi="Arial" w:cs="Arial"/>
                <w:szCs w:val="18"/>
              </w:rPr>
              <w:t>9.71</w:t>
            </w:r>
          </w:p>
        </w:tc>
        <w:tc>
          <w:tcPr>
            <w:tcW w:w="850" w:type="dxa"/>
            <w:vAlign w:val="center"/>
          </w:tcPr>
          <w:p w14:paraId="48F6B67F" w14:textId="29464304" w:rsidR="00A53BA6" w:rsidRDefault="00E271DA" w:rsidP="00A53BA6">
            <w:r>
              <w:rPr>
                <w:rFonts w:ascii="Arial" w:hAnsi="Arial" w:cs="Arial"/>
                <w:szCs w:val="18"/>
              </w:rPr>
              <w:t>-2.87</w:t>
            </w:r>
          </w:p>
        </w:tc>
        <w:tc>
          <w:tcPr>
            <w:tcW w:w="851" w:type="dxa"/>
            <w:vAlign w:val="center"/>
          </w:tcPr>
          <w:p w14:paraId="3BC3F33D" w14:textId="0829A330" w:rsidR="00A53BA6" w:rsidRDefault="000324B5" w:rsidP="00A53BA6">
            <w:r>
              <w:rPr>
                <w:rFonts w:ascii="Arial" w:hAnsi="Arial" w:cs="Arial"/>
                <w:szCs w:val="18"/>
              </w:rPr>
              <w:t>0.54</w:t>
            </w:r>
          </w:p>
        </w:tc>
        <w:tc>
          <w:tcPr>
            <w:tcW w:w="708" w:type="dxa"/>
          </w:tcPr>
          <w:p w14:paraId="2D511A21" w14:textId="00FAA5E4" w:rsidR="00A53BA6" w:rsidRDefault="00932322" w:rsidP="001D5CDF">
            <w:pPr>
              <w:rPr>
                <w:rFonts w:ascii="Arial" w:hAnsi="Arial" w:cs="Arial"/>
                <w:szCs w:val="18"/>
              </w:rPr>
            </w:pPr>
            <w:r>
              <w:rPr>
                <w:rFonts w:ascii="Arial" w:hAnsi="Arial" w:cs="Arial"/>
                <w:szCs w:val="18"/>
              </w:rPr>
              <w:t>2.33</w:t>
            </w:r>
          </w:p>
        </w:tc>
        <w:tc>
          <w:tcPr>
            <w:tcW w:w="851" w:type="dxa"/>
            <w:vAlign w:val="center"/>
          </w:tcPr>
          <w:p w14:paraId="6757417A" w14:textId="7CBDBCF0" w:rsidR="00A53BA6" w:rsidRDefault="00C21BAE" w:rsidP="001D5CDF">
            <w:r>
              <w:rPr>
                <w:rFonts w:ascii="Arial" w:hAnsi="Arial" w:cs="Arial"/>
                <w:szCs w:val="18"/>
              </w:rPr>
              <w:t>4.32</w:t>
            </w:r>
          </w:p>
        </w:tc>
      </w:tr>
      <w:tr w:rsidR="00CB5EAD" w:rsidRPr="00E46039" w14:paraId="11679888" w14:textId="77777777" w:rsidTr="00A410DE">
        <w:trPr>
          <w:trHeight w:val="60"/>
        </w:trPr>
        <w:tc>
          <w:tcPr>
            <w:tcW w:w="1333" w:type="dxa"/>
            <w:vAlign w:val="center"/>
          </w:tcPr>
          <w:p w14:paraId="6D62251E" w14:textId="37CF178F" w:rsidR="00CB5EAD" w:rsidRDefault="00CB5EAD" w:rsidP="001D5CDF">
            <w:pPr>
              <w:pStyle w:val="TableText"/>
              <w:rPr>
                <w:rFonts w:ascii="Arial" w:hAnsi="Arial" w:cs="Arial"/>
                <w:lang w:val="en-US"/>
              </w:rPr>
            </w:pPr>
            <w:r>
              <w:rPr>
                <w:rFonts w:ascii="Arial" w:hAnsi="Arial" w:cs="Arial"/>
                <w:lang w:val="en-US"/>
              </w:rPr>
              <w:t>International Fixed Interest</w:t>
            </w:r>
          </w:p>
        </w:tc>
        <w:tc>
          <w:tcPr>
            <w:tcW w:w="709" w:type="dxa"/>
            <w:vAlign w:val="center"/>
          </w:tcPr>
          <w:p w14:paraId="6936D307" w14:textId="17F81F92" w:rsidR="00CB5EAD" w:rsidRDefault="00E16A28" w:rsidP="00A53BA6">
            <w:pPr>
              <w:rPr>
                <w:rFonts w:ascii="Arial" w:hAnsi="Arial" w:cs="Arial"/>
                <w:szCs w:val="18"/>
              </w:rPr>
            </w:pPr>
            <w:r>
              <w:rPr>
                <w:rFonts w:ascii="Arial" w:hAnsi="Arial" w:cs="Arial"/>
                <w:szCs w:val="18"/>
              </w:rPr>
              <w:t>-12.28</w:t>
            </w:r>
          </w:p>
        </w:tc>
        <w:tc>
          <w:tcPr>
            <w:tcW w:w="850" w:type="dxa"/>
            <w:vAlign w:val="center"/>
          </w:tcPr>
          <w:p w14:paraId="774A995E" w14:textId="704DA6AB" w:rsidR="00CB5EAD" w:rsidRDefault="00E271DA" w:rsidP="00A53BA6">
            <w:pPr>
              <w:rPr>
                <w:rFonts w:ascii="Arial" w:hAnsi="Arial" w:cs="Arial"/>
                <w:szCs w:val="18"/>
              </w:rPr>
            </w:pPr>
            <w:r>
              <w:rPr>
                <w:rFonts w:ascii="Arial" w:hAnsi="Arial" w:cs="Arial"/>
                <w:szCs w:val="18"/>
              </w:rPr>
              <w:t>-3.17</w:t>
            </w:r>
          </w:p>
        </w:tc>
        <w:tc>
          <w:tcPr>
            <w:tcW w:w="851" w:type="dxa"/>
            <w:vAlign w:val="center"/>
          </w:tcPr>
          <w:p w14:paraId="03EAA596" w14:textId="6F1C49C3" w:rsidR="00CB5EAD" w:rsidRDefault="000324B5" w:rsidP="00A53BA6">
            <w:pPr>
              <w:rPr>
                <w:rFonts w:ascii="Arial" w:hAnsi="Arial" w:cs="Arial"/>
                <w:szCs w:val="18"/>
              </w:rPr>
            </w:pPr>
            <w:r>
              <w:rPr>
                <w:rFonts w:ascii="Arial" w:hAnsi="Arial" w:cs="Arial"/>
                <w:szCs w:val="18"/>
              </w:rPr>
              <w:t>-0.22</w:t>
            </w:r>
          </w:p>
        </w:tc>
        <w:tc>
          <w:tcPr>
            <w:tcW w:w="708" w:type="dxa"/>
          </w:tcPr>
          <w:p w14:paraId="5BDF1779" w14:textId="06A7A33E" w:rsidR="00CB5EAD" w:rsidRDefault="00932322" w:rsidP="001D5CDF">
            <w:pPr>
              <w:rPr>
                <w:rFonts w:ascii="Arial" w:hAnsi="Arial" w:cs="Arial"/>
                <w:szCs w:val="18"/>
              </w:rPr>
            </w:pPr>
            <w:r>
              <w:rPr>
                <w:rFonts w:ascii="Arial" w:hAnsi="Arial" w:cs="Arial"/>
                <w:szCs w:val="18"/>
              </w:rPr>
              <w:t>2.33</w:t>
            </w:r>
          </w:p>
        </w:tc>
        <w:tc>
          <w:tcPr>
            <w:tcW w:w="851" w:type="dxa"/>
            <w:vAlign w:val="center"/>
          </w:tcPr>
          <w:p w14:paraId="18946EB3" w14:textId="40173A53" w:rsidR="00CB5EAD" w:rsidRDefault="00C21BAE" w:rsidP="001D5CDF">
            <w:pPr>
              <w:rPr>
                <w:rFonts w:ascii="Arial" w:hAnsi="Arial" w:cs="Arial"/>
                <w:szCs w:val="18"/>
              </w:rPr>
            </w:pPr>
            <w:r>
              <w:rPr>
                <w:rFonts w:ascii="Arial" w:hAnsi="Arial" w:cs="Arial"/>
                <w:szCs w:val="18"/>
              </w:rPr>
              <w:t>5.11</w:t>
            </w:r>
          </w:p>
        </w:tc>
      </w:tr>
      <w:tr w:rsidR="00716DA7" w:rsidRPr="00E46039" w14:paraId="7A831704" w14:textId="77777777" w:rsidTr="00A410DE">
        <w:trPr>
          <w:cnfStyle w:val="000000010000" w:firstRow="0" w:lastRow="0" w:firstColumn="0" w:lastColumn="0" w:oddVBand="0" w:evenVBand="0" w:oddHBand="0" w:evenHBand="1" w:firstRowFirstColumn="0" w:firstRowLastColumn="0" w:lastRowFirstColumn="0" w:lastRowLastColumn="0"/>
          <w:trHeight w:val="60"/>
        </w:trPr>
        <w:tc>
          <w:tcPr>
            <w:tcW w:w="1333" w:type="dxa"/>
            <w:vAlign w:val="center"/>
          </w:tcPr>
          <w:p w14:paraId="235D4904" w14:textId="77777777" w:rsidR="00A53BA6" w:rsidRDefault="00A53BA6" w:rsidP="001D5CDF">
            <w:pPr>
              <w:pStyle w:val="TableText"/>
            </w:pPr>
            <w:r>
              <w:rPr>
                <w:rFonts w:ascii="Arial" w:hAnsi="Arial" w:cs="Arial"/>
                <w:lang w:val="en-US"/>
              </w:rPr>
              <w:t>Cash</w:t>
            </w:r>
          </w:p>
        </w:tc>
        <w:tc>
          <w:tcPr>
            <w:tcW w:w="709" w:type="dxa"/>
            <w:vAlign w:val="center"/>
          </w:tcPr>
          <w:p w14:paraId="4CC6DB12" w14:textId="22368B91" w:rsidR="00A53BA6" w:rsidRDefault="00E16A28" w:rsidP="00A53BA6">
            <w:r>
              <w:rPr>
                <w:rFonts w:ascii="Arial" w:hAnsi="Arial" w:cs="Arial"/>
                <w:szCs w:val="18"/>
              </w:rPr>
              <w:t>1.25</w:t>
            </w:r>
          </w:p>
        </w:tc>
        <w:tc>
          <w:tcPr>
            <w:tcW w:w="850" w:type="dxa"/>
            <w:vAlign w:val="center"/>
          </w:tcPr>
          <w:p w14:paraId="03CF195C" w14:textId="6DFFE21C" w:rsidR="00A53BA6" w:rsidRDefault="00A53BA6" w:rsidP="00A53BA6">
            <w:r>
              <w:rPr>
                <w:rFonts w:ascii="Arial" w:hAnsi="Arial" w:cs="Arial"/>
                <w:szCs w:val="18"/>
              </w:rPr>
              <w:t>0.5</w:t>
            </w:r>
            <w:r w:rsidR="00E271DA">
              <w:rPr>
                <w:rFonts w:ascii="Arial" w:hAnsi="Arial" w:cs="Arial"/>
                <w:szCs w:val="18"/>
              </w:rPr>
              <w:t>5</w:t>
            </w:r>
          </w:p>
        </w:tc>
        <w:tc>
          <w:tcPr>
            <w:tcW w:w="851" w:type="dxa"/>
            <w:vAlign w:val="center"/>
          </w:tcPr>
          <w:p w14:paraId="3B0C8D67" w14:textId="763F4709" w:rsidR="00A53BA6" w:rsidRDefault="00A53BA6" w:rsidP="00A53BA6">
            <w:r>
              <w:rPr>
                <w:rFonts w:ascii="Arial" w:hAnsi="Arial" w:cs="Arial"/>
                <w:szCs w:val="18"/>
              </w:rPr>
              <w:t>1.</w:t>
            </w:r>
            <w:r w:rsidR="000324B5">
              <w:rPr>
                <w:rFonts w:ascii="Arial" w:hAnsi="Arial" w:cs="Arial"/>
                <w:szCs w:val="18"/>
              </w:rPr>
              <w:t>01</w:t>
            </w:r>
          </w:p>
        </w:tc>
        <w:tc>
          <w:tcPr>
            <w:tcW w:w="708" w:type="dxa"/>
          </w:tcPr>
          <w:p w14:paraId="3F6BEB8B" w14:textId="1E0C533D" w:rsidR="00A53BA6" w:rsidRDefault="00932322" w:rsidP="001D5CDF">
            <w:pPr>
              <w:rPr>
                <w:rFonts w:ascii="Arial" w:hAnsi="Arial" w:cs="Arial"/>
                <w:szCs w:val="18"/>
              </w:rPr>
            </w:pPr>
            <w:r>
              <w:rPr>
                <w:rFonts w:ascii="Arial" w:hAnsi="Arial" w:cs="Arial"/>
                <w:szCs w:val="18"/>
              </w:rPr>
              <w:t>1.67</w:t>
            </w:r>
          </w:p>
        </w:tc>
        <w:tc>
          <w:tcPr>
            <w:tcW w:w="851" w:type="dxa"/>
            <w:vAlign w:val="center"/>
          </w:tcPr>
          <w:p w14:paraId="6B997DFC" w14:textId="7038E89C" w:rsidR="00A53BA6" w:rsidRDefault="00A53BA6" w:rsidP="001D5CDF">
            <w:r>
              <w:rPr>
                <w:rFonts w:ascii="Arial" w:hAnsi="Arial" w:cs="Arial"/>
                <w:szCs w:val="18"/>
              </w:rPr>
              <w:t>3.</w:t>
            </w:r>
            <w:r w:rsidR="00C21BAE">
              <w:rPr>
                <w:rFonts w:ascii="Arial" w:hAnsi="Arial" w:cs="Arial"/>
                <w:szCs w:val="18"/>
              </w:rPr>
              <w:t>5</w:t>
            </w:r>
          </w:p>
        </w:tc>
      </w:tr>
    </w:tbl>
    <w:p w14:paraId="1216F901" w14:textId="14E970D4" w:rsidR="000A2D82" w:rsidRDefault="000A2D82" w:rsidP="000A2D82">
      <w:pPr>
        <w:autoSpaceDE w:val="0"/>
        <w:autoSpaceDN w:val="0"/>
        <w:rPr>
          <w:rFonts w:ascii="Arial" w:hAnsi="Arial" w:cs="Arial"/>
          <w:spacing w:val="0"/>
          <w:sz w:val="16"/>
          <w:szCs w:val="20"/>
          <w:lang w:eastAsia="en-AU"/>
        </w:rPr>
      </w:pPr>
      <w:r>
        <w:rPr>
          <w:rFonts w:ascii="Arial" w:hAnsi="Arial" w:cs="Arial"/>
          <w:sz w:val="16"/>
          <w:szCs w:val="20"/>
          <w:lang w:eastAsia="en-AU"/>
        </w:rPr>
        <w:t xml:space="preserve">Source: </w:t>
      </w:r>
      <w:r w:rsidR="00720DBF">
        <w:rPr>
          <w:rFonts w:ascii="Arial" w:hAnsi="Arial" w:cs="Arial"/>
          <w:sz w:val="16"/>
          <w:szCs w:val="20"/>
          <w:lang w:eastAsia="en-AU"/>
        </w:rPr>
        <w:t>FE Analytics</w:t>
      </w:r>
    </w:p>
    <w:p w14:paraId="165B5B48" w14:textId="77777777" w:rsidR="00C25C36" w:rsidRDefault="00C25C36" w:rsidP="00D178EF">
      <w:pPr>
        <w:pStyle w:val="Heading1"/>
      </w:pPr>
    </w:p>
    <w:p w14:paraId="49C98A4F" w14:textId="77777777" w:rsidR="00D178EF" w:rsidRDefault="001528EF" w:rsidP="00D178EF">
      <w:pPr>
        <w:pStyle w:val="Heading1"/>
      </w:pPr>
      <w:r>
        <w:t>What is the effect of market</w:t>
      </w:r>
      <w:r w:rsidR="009957BF">
        <w:t xml:space="preserve"> </w:t>
      </w:r>
      <w:r w:rsidR="00D178EF">
        <w:t>volatility on super funds?</w:t>
      </w:r>
    </w:p>
    <w:p w14:paraId="53CBD888" w14:textId="77777777" w:rsidR="007C76D3" w:rsidRDefault="00D178EF" w:rsidP="00D178EF">
      <w:r>
        <w:t>In times of market volatility your super balance may decline, but it is important to remember that markets move in cycles. Volatility is a natural part of the economic cycle. Markets are influenced by a range of factors and are inherently unpredictable. History demonstrates that over the long term, the general trend of share markets has been upward.</w:t>
      </w:r>
    </w:p>
    <w:p w14:paraId="4E3EBF75" w14:textId="77777777" w:rsidR="00D178EF" w:rsidRDefault="00D178EF" w:rsidP="00D178EF">
      <w:pPr>
        <w:pStyle w:val="Heading1"/>
      </w:pPr>
      <w:r>
        <w:t>Don’t lose sight of the bigger picture</w:t>
      </w:r>
    </w:p>
    <w:p w14:paraId="5843D47A" w14:textId="77777777" w:rsidR="00D178EF" w:rsidRDefault="00D178EF" w:rsidP="00D178EF">
      <w:r>
        <w:t xml:space="preserve">Super is a long term investment. Shares, which usually form a large part of most balanced super accounts, are also generally a long term investment. They are designed to provide capital growth over a period of five years or more. Think in years, not days. The time frame for super may be 20 years or more, so short term volatility shouldn’t diminish the long term potential of your investments. Growth assets (such as shares) tend to fluctuate in the short </w:t>
      </w:r>
      <w:proofErr w:type="gramStart"/>
      <w:r>
        <w:t>term, but</w:t>
      </w:r>
      <w:proofErr w:type="gramEnd"/>
      <w:r>
        <w:t xml:space="preserve"> have historically provided excellent returns for investors over the long term.</w:t>
      </w:r>
    </w:p>
    <w:p w14:paraId="3D3B3884" w14:textId="77777777" w:rsidR="00D178EF" w:rsidRDefault="00D178EF" w:rsidP="00D178EF">
      <w:r>
        <w:t>When share markets fall in value, it may be tempting to sell up. However, trying to time the market by selling now and buying back later is a risky strategy that rarely results in investors coming out ahead. By taking a long term view of investing, you can ride out any short term fluctuations in the market and take advantage of growth opportunities over the long term.</w:t>
      </w:r>
    </w:p>
    <w:p w14:paraId="23F404E2" w14:textId="77777777" w:rsidR="00D178EF" w:rsidRDefault="00D178EF" w:rsidP="00D178EF">
      <w:pPr>
        <w:pStyle w:val="Heading1"/>
      </w:pPr>
      <w:r>
        <w:lastRenderedPageBreak/>
        <w:t>Diversification</w:t>
      </w:r>
    </w:p>
    <w:p w14:paraId="636C1F47" w14:textId="77777777" w:rsidR="00D178EF" w:rsidRDefault="00D178EF" w:rsidP="00D178EF">
      <w:r>
        <w:t>Diversification is one of the most effective ways of managing volatility. It can help deliver smoother, more consistent results over time. Your investment may benefit by being spread across a variety of asset classes, including shares (domestic and global), fixed income, cash, direct and listed property and alternatives. This diversification should help soften the effects of any share market falls as some asset classes often tend to do well whilst others are struggling. Also, spreading your assets around means you are less reliant on any one asset class at any particular time.</w:t>
      </w:r>
    </w:p>
    <w:p w14:paraId="45F8C414" w14:textId="77777777" w:rsidR="00D178EF" w:rsidRDefault="00D178EF" w:rsidP="00D178EF">
      <w:pPr>
        <w:pStyle w:val="Heading1"/>
      </w:pPr>
      <w:r>
        <w:t>Understand your risk profile</w:t>
      </w:r>
    </w:p>
    <w:p w14:paraId="73871292" w14:textId="77777777" w:rsidR="00D178EF" w:rsidRDefault="00D178EF" w:rsidP="00D178EF">
      <w:r>
        <w:t>All investments carry some risk. How much risk you’re willing to accept will be influenced by your financial situation, family considerations, time horizon and even your personality. If market volatility has caused you to reassess the way you feel about risk, it’s important that you see your financial adviser to discuss any necessary changes to your financial plan.</w:t>
      </w:r>
    </w:p>
    <w:p w14:paraId="1FE06D0B" w14:textId="77777777" w:rsidR="00D178EF" w:rsidRDefault="001528EF" w:rsidP="00D178EF">
      <w:pPr>
        <w:pStyle w:val="Heading1"/>
      </w:pPr>
      <w:r>
        <w:t>Understanding the implications</w:t>
      </w:r>
      <w:r w:rsidR="009957BF">
        <w:t xml:space="preserve"> </w:t>
      </w:r>
      <w:r w:rsidR="00D178EF">
        <w:t>of withdrawing</w:t>
      </w:r>
    </w:p>
    <w:p w14:paraId="7FC3F82A" w14:textId="77777777" w:rsidR="00D178EF" w:rsidRDefault="00D178EF" w:rsidP="00D178EF">
      <w:r>
        <w:t>Before you withdraw from an investment you should understand all the implications, risks and costs involved.</w:t>
      </w:r>
    </w:p>
    <w:p w14:paraId="1C1453CD" w14:textId="77777777" w:rsidR="00D178EF" w:rsidRDefault="00D178EF" w:rsidP="00D178EF">
      <w:pPr>
        <w:pStyle w:val="ListBullet"/>
      </w:pPr>
      <w:r w:rsidRPr="00D178EF">
        <w:rPr>
          <w:b/>
        </w:rPr>
        <w:t>Crystallising losses.</w:t>
      </w:r>
      <w:r>
        <w:t xml:space="preserve"> If the value of your investment </w:t>
      </w:r>
      <w:r w:rsidR="009A5E4D">
        <w:br/>
      </w:r>
      <w:r>
        <w:t xml:space="preserve">is falling, you are technically only making a loss on paper. A rise in prices could soon return your investment to profit without you doing anything. </w:t>
      </w:r>
      <w:r w:rsidR="009A5E4D">
        <w:br/>
      </w:r>
      <w:r>
        <w:t xml:space="preserve">Selling your investment makes any losses real </w:t>
      </w:r>
      <w:r w:rsidR="009A5E4D">
        <w:br/>
      </w:r>
      <w:r>
        <w:t>and irreversible.</w:t>
      </w:r>
      <w:r w:rsidR="009957BF">
        <w:br/>
      </w:r>
    </w:p>
    <w:p w14:paraId="52DFB2B8" w14:textId="77777777" w:rsidR="00C25C36" w:rsidRDefault="00D178EF" w:rsidP="00C25C36">
      <w:pPr>
        <w:pStyle w:val="ListBullet"/>
      </w:pPr>
      <w:r w:rsidRPr="00D178EF">
        <w:rPr>
          <w:b/>
        </w:rPr>
        <w:t>Incurring capital gains tax (CGT).</w:t>
      </w:r>
      <w:r>
        <w:t xml:space="preserve"> Make sure you know what your CGT position will be before selling </w:t>
      </w:r>
      <w:r w:rsidR="009A5E4D">
        <w:br/>
      </w:r>
      <w:r>
        <w:t>any asset.</w:t>
      </w:r>
    </w:p>
    <w:p w14:paraId="6AD80F1D" w14:textId="77777777" w:rsidR="00C25C36" w:rsidRDefault="00C25C36" w:rsidP="00C25C36">
      <w:pPr>
        <w:pStyle w:val="ListBullet"/>
        <w:numPr>
          <w:ilvl w:val="0"/>
          <w:numId w:val="0"/>
        </w:numPr>
        <w:ind w:left="360" w:hanging="360"/>
      </w:pPr>
    </w:p>
    <w:p w14:paraId="7DC8B64E" w14:textId="77777777" w:rsidR="00D178EF" w:rsidRPr="008B4961" w:rsidRDefault="00D178EF" w:rsidP="00D178EF">
      <w:pPr>
        <w:pStyle w:val="ListBullet"/>
      </w:pPr>
      <w:r w:rsidRPr="00D178EF">
        <w:rPr>
          <w:b/>
        </w:rPr>
        <w:t>Losing the benefits of compounding.</w:t>
      </w:r>
      <w:r>
        <w:t xml:space="preserve"> If you’re thinking about making a partial withdrawal from an investment, remember that it’s not just the withdrawal you lose, but all future earnings and interest on that amount.</w:t>
      </w:r>
    </w:p>
    <w:p w14:paraId="1806C866" w14:textId="77777777" w:rsidR="007A3A07" w:rsidRPr="008B4961" w:rsidRDefault="0075028E" w:rsidP="000B3F7E">
      <w:pPr>
        <w:spacing w:before="0"/>
      </w:pPr>
      <w:r>
        <w:br w:type="column"/>
      </w:r>
      <w:r w:rsidR="00A75923" w:rsidRPr="008B4961">
        <w:rPr>
          <w:noProof/>
          <w:lang w:eastAsia="en-AU"/>
        </w:rPr>
        <mc:AlternateContent>
          <mc:Choice Requires="wps">
            <w:drawing>
              <wp:inline distT="0" distB="0" distL="0" distR="0" wp14:anchorId="2DC009F7" wp14:editId="3B4B1130">
                <wp:extent cx="3253740" cy="914400"/>
                <wp:effectExtent l="0" t="0" r="3810" b="4445"/>
                <wp:docPr id="6" name="Text Box 6"/>
                <wp:cNvGraphicFramePr/>
                <a:graphic xmlns:a="http://schemas.openxmlformats.org/drawingml/2006/main">
                  <a:graphicData uri="http://schemas.microsoft.com/office/word/2010/wordprocessingShape">
                    <wps:wsp>
                      <wps:cNvSpPr txBox="1"/>
                      <wps:spPr>
                        <a:xfrm>
                          <a:off x="0" y="0"/>
                          <a:ext cx="3253740" cy="914400"/>
                        </a:xfrm>
                        <a:prstGeom prst="rect">
                          <a:avLst/>
                        </a:prstGeom>
                        <a:solidFill>
                          <a:srgbClr val="ECECEC"/>
                        </a:solidFill>
                        <a:ln w="6350">
                          <a:noFill/>
                        </a:ln>
                      </wps:spPr>
                      <wps:txbx>
                        <w:txbxContent>
                          <w:p w14:paraId="12E3B5F9" w14:textId="77777777" w:rsidR="00D178EF" w:rsidRDefault="00D178EF" w:rsidP="00D178EF">
                            <w:pPr>
                              <w:pStyle w:val="Heading1"/>
                            </w:pPr>
                            <w:r>
                              <w:t>Key takeaways</w:t>
                            </w:r>
                          </w:p>
                          <w:p w14:paraId="44C8C096" w14:textId="77777777" w:rsidR="00D178EF" w:rsidRDefault="00D178EF" w:rsidP="00D178EF">
                            <w:r>
                              <w:t>Keep in mind that:</w:t>
                            </w:r>
                          </w:p>
                          <w:p w14:paraId="64911DFF" w14:textId="77777777" w:rsidR="00D178EF" w:rsidRDefault="00D178EF" w:rsidP="00D178EF">
                            <w:pPr>
                              <w:pStyle w:val="ListBullet"/>
                            </w:pPr>
                            <w:r>
                              <w:t xml:space="preserve">Super is a long term investment designed to generate sufficient money so you can enjoy </w:t>
                            </w:r>
                            <w:r w:rsidR="009A5E4D">
                              <w:br/>
                            </w:r>
                            <w:r w:rsidR="00ED5D15">
                              <w:t>your retirement.</w:t>
                            </w:r>
                          </w:p>
                          <w:p w14:paraId="2E38A1DE" w14:textId="77777777" w:rsidR="00D178EF" w:rsidRDefault="00D178EF" w:rsidP="00D178EF">
                            <w:pPr>
                              <w:pStyle w:val="ListBullet"/>
                            </w:pPr>
                            <w:r>
                              <w:t>Diversification is an important part of a long term super investment strategy. To create the lifestyle you want in retirement, it may be necessary to invest in growth assets like shares so that your returns stay ahead of tax and inflation.</w:t>
                            </w:r>
                          </w:p>
                          <w:p w14:paraId="4DA6A082" w14:textId="77777777" w:rsidR="00D178EF" w:rsidRDefault="00D178EF" w:rsidP="00D178EF">
                            <w:pPr>
                              <w:pStyle w:val="ListBullet"/>
                            </w:pPr>
                            <w:r>
                              <w:t xml:space="preserve">It may be beneficial to ride out the bad times </w:t>
                            </w:r>
                            <w:r w:rsidR="009A5E4D">
                              <w:br/>
                            </w:r>
                            <w:r>
                              <w:t>in order to achieve long term growth.</w:t>
                            </w:r>
                          </w:p>
                          <w:p w14:paraId="0C68736C" w14:textId="77777777" w:rsidR="00A75923" w:rsidRDefault="00D178EF" w:rsidP="00D178EF">
                            <w:pPr>
                              <w:pStyle w:val="ListBullet"/>
                            </w:pPr>
                            <w:r>
                              <w:t>Your financial plan was designed exclusively for you to suit your investment objectives and risk profile. It’s important to stay focused on your long term goals.</w:t>
                            </w:r>
                          </w:p>
                        </w:txbxContent>
                      </wps:txbx>
                      <wps:bodyPr rot="0" spcFirstLastPara="0" vertOverflow="clip" horzOverflow="overflow" vert="horz" wrap="square" lIns="108000" tIns="36000" rIns="108000" bIns="108000" numCol="1" spcCol="0" rtlCol="0" fromWordArt="0" anchor="t" anchorCtr="0" forceAA="0" compatLnSpc="1">
                        <a:prstTxWarp prst="textNoShape">
                          <a:avLst/>
                        </a:prstTxWarp>
                        <a:spAutoFit/>
                      </wps:bodyPr>
                    </wps:wsp>
                  </a:graphicData>
                </a:graphic>
              </wp:inline>
            </w:drawing>
          </mc:Choice>
          <mc:Fallback>
            <w:pict>
              <v:shapetype w14:anchorId="2DC009F7" id="_x0000_t202" coordsize="21600,21600" o:spt="202" path="m,l,21600r21600,l21600,xe">
                <v:stroke joinstyle="miter"/>
                <v:path gradientshapeok="t" o:connecttype="rect"/>
              </v:shapetype>
              <v:shape id="Text Box 6" o:spid="_x0000_s1026" type="#_x0000_t202" style="width:256.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dMQIAAFQEAAAOAAAAZHJzL2Uyb0RvYy54bWysVNtu2zAMfR+wfxD0vti5NGuNOEWWLsOA&#10;oi2QDn1WZDk2IIsapcTOvn6UnMvSvQ1DAEUUKYrnHNKz+67RbK/Q1WByPhyknCkjoajNNuc/Xlef&#10;bjlzXphCaDAq5wfl+P3844dZazM1ggp0oZBREuOy1ua88t5mSeJkpRrhBmCVIWcJ2AhPJm6TAkVL&#10;2RudjNJ0mrSAhUWQyjk6feidfB7zl6WS/rksnfJM55xq83HFuG7CmsxnItuisFUtj2WIf6iiEbWh&#10;R8+pHoQXbIf1X6maWiI4KP1AQpNAWdZSRQyEZpi+Q7OuhFURC5Hj7Jkm9//Syqf92r4g890X6EjA&#10;QEhrXeboMODpSmzCP1XKyE8UHs60qc4zSYfj0c3484Rcknx3w8kkjbwml9sWnf+moGFhk3MkWSJb&#10;Yv/oPL1IoaeQ8JgDXRerWuto4Haz1Mj2giT8ugy/UCRduQrThrU5n45v0pjZQLjfx2lD4RdQYee7&#10;TXdEuoHiQAQg9L3hrFzVVOWjcP5FIDUDAaMG98+0lBroEalry1kF+OtyBkdvH0v6kJezlhor5+7n&#10;TqDiTH83pNwwvU2JIOajNZ5GA69cmyvL7JolEPYhTZKVcUvX0evTtkRo3mgMFthDEEbS8zn3nPXb&#10;pe87nsZIqsUiQqL2s8I/mrWVIXVgOkjw2r0JtEedPCn8BKcuFNk7ufrYqJFd7DwxHrUM/PakHmmn&#10;1o16HccszMafdoy6fAzmvwEAAP//AwBQSwMEFAAGAAgAAAAhABpZe7fcAAAABQEAAA8AAABkcnMv&#10;ZG93bnJldi54bWxMj0FLw0AQhe9C/8Mygje7aYiiMZtSheLBQ20stMdNdpqEZGdDdtvGf+/Ui14e&#10;DO/x3jfZcrK9OOPoW0cKFvMIBFLlTEu1gt3X+v4JhA+ajO4doYJv9LDMZzeZTo270BbPRagFl5BP&#10;tYImhCGV0lcNWu3nbkBi7+hGqwOfYy3NqC9cbnsZR9GjtLolXmj0gG8NVl1xsgrqPb1X691refj4&#10;9M9FbI5dFzZK3d1OqxcQAafwF4YrPqNDzkylO5HxolfAj4RfZe9hEScgSg4lSQQyz+R/+vwHAAD/&#10;/wMAUEsBAi0AFAAGAAgAAAAhALaDOJL+AAAA4QEAABMAAAAAAAAAAAAAAAAAAAAAAFtDb250ZW50&#10;X1R5cGVzXS54bWxQSwECLQAUAAYACAAAACEAOP0h/9YAAACUAQAACwAAAAAAAAAAAAAAAAAvAQAA&#10;X3JlbHMvLnJlbHNQSwECLQAUAAYACAAAACEA2lh/3TECAABUBAAADgAAAAAAAAAAAAAAAAAuAgAA&#10;ZHJzL2Uyb0RvYy54bWxQSwECLQAUAAYACAAAACEAGll7t9wAAAAFAQAADwAAAAAAAAAAAAAAAACL&#10;BAAAZHJzL2Rvd25yZXYueG1sUEsFBgAAAAAEAAQA8wAAAJQFAAAAAA==&#10;" fillcolor="#ececec" stroked="f" strokeweight=".5pt">
                <v:textbox style="mso-fit-shape-to-text:t" inset="3mm,1mm,3mm,3mm">
                  <w:txbxContent>
                    <w:p w14:paraId="12E3B5F9" w14:textId="77777777" w:rsidR="00D178EF" w:rsidRDefault="00D178EF" w:rsidP="00D178EF">
                      <w:pPr>
                        <w:pStyle w:val="Heading1"/>
                      </w:pPr>
                      <w:r>
                        <w:t>Key takeaways</w:t>
                      </w:r>
                    </w:p>
                    <w:p w14:paraId="44C8C096" w14:textId="77777777" w:rsidR="00D178EF" w:rsidRDefault="00D178EF" w:rsidP="00D178EF">
                      <w:r>
                        <w:t>Keep in mind that:</w:t>
                      </w:r>
                    </w:p>
                    <w:p w14:paraId="64911DFF" w14:textId="77777777" w:rsidR="00D178EF" w:rsidRDefault="00D178EF" w:rsidP="00D178EF">
                      <w:pPr>
                        <w:pStyle w:val="ListBullet"/>
                      </w:pPr>
                      <w:r>
                        <w:t xml:space="preserve">Super is a long term investment designed to generate sufficient money so you can enjoy </w:t>
                      </w:r>
                      <w:r w:rsidR="009A5E4D">
                        <w:br/>
                      </w:r>
                      <w:r w:rsidR="00ED5D15">
                        <w:t>your retirement.</w:t>
                      </w:r>
                    </w:p>
                    <w:p w14:paraId="2E38A1DE" w14:textId="77777777" w:rsidR="00D178EF" w:rsidRDefault="00D178EF" w:rsidP="00D178EF">
                      <w:pPr>
                        <w:pStyle w:val="ListBullet"/>
                      </w:pPr>
                      <w:r>
                        <w:t>Diversification is an important part of a long term super investment strategy. To create the lifestyle you want in retirement, it may be necessary to invest in growth assets like shares so that your returns stay ahead of tax and inflation.</w:t>
                      </w:r>
                    </w:p>
                    <w:p w14:paraId="4DA6A082" w14:textId="77777777" w:rsidR="00D178EF" w:rsidRDefault="00D178EF" w:rsidP="00D178EF">
                      <w:pPr>
                        <w:pStyle w:val="ListBullet"/>
                      </w:pPr>
                      <w:r>
                        <w:t xml:space="preserve">It may be beneficial to ride out the bad times </w:t>
                      </w:r>
                      <w:r w:rsidR="009A5E4D">
                        <w:br/>
                      </w:r>
                      <w:r>
                        <w:t>in order to achieve long term growth.</w:t>
                      </w:r>
                    </w:p>
                    <w:p w14:paraId="0C68736C" w14:textId="77777777" w:rsidR="00A75923" w:rsidRDefault="00D178EF" w:rsidP="00D178EF">
                      <w:pPr>
                        <w:pStyle w:val="ListBullet"/>
                      </w:pPr>
                      <w:r>
                        <w:t>Your financial plan was designed exclusively for you to suit your investment objectives and risk profile. It’s important to stay focused on your long term goals.</w:t>
                      </w:r>
                    </w:p>
                  </w:txbxContent>
                </v:textbox>
                <w10:anchorlock/>
              </v:shape>
            </w:pict>
          </mc:Fallback>
        </mc:AlternateContent>
      </w:r>
    </w:p>
    <w:p w14:paraId="5742A07C" w14:textId="77777777" w:rsidR="009534F1" w:rsidRPr="00DD4B38" w:rsidRDefault="009534F1" w:rsidP="00846108">
      <w:pPr>
        <w:pStyle w:val="Source"/>
        <w:sectPr w:rsidR="009534F1" w:rsidRPr="00DD4B38" w:rsidSect="004266E2">
          <w:type w:val="continuous"/>
          <w:pgSz w:w="11907" w:h="16840" w:code="9"/>
          <w:pgMar w:top="680" w:right="680" w:bottom="340" w:left="680" w:header="454" w:footer="340" w:gutter="0"/>
          <w:cols w:num="2" w:space="284"/>
          <w:noEndnote/>
          <w:titlePg/>
          <w:docGrid w:linePitch="272"/>
        </w:sectPr>
      </w:pPr>
    </w:p>
    <w:p w14:paraId="32138E10" w14:textId="37A2A1D8" w:rsidR="00AE3F85" w:rsidRDefault="00AE3F85" w:rsidP="004E334F"/>
    <w:p w14:paraId="333DCD8F" w14:textId="7527A1F9" w:rsidR="00FB2A81" w:rsidRPr="0086264A" w:rsidRDefault="00012A5F" w:rsidP="0086264A">
      <w:pPr>
        <w:spacing w:before="0" w:after="0"/>
        <w:rPr>
          <w:sz w:val="2"/>
          <w:szCs w:val="2"/>
        </w:rPr>
      </w:pPr>
      <w:r w:rsidRPr="0060065B">
        <w:rPr>
          <w:b/>
          <w:bCs/>
          <w:noProof/>
          <w:lang w:eastAsia="en-AU"/>
        </w:rPr>
        <mc:AlternateContent>
          <mc:Choice Requires="wps">
            <w:drawing>
              <wp:anchor distT="360045" distB="0" distL="114300" distR="114300" simplePos="0" relativeHeight="251658240" behindDoc="0" locked="0" layoutInCell="0" allowOverlap="1" wp14:anchorId="49DF2AB7" wp14:editId="0C7DCABE">
                <wp:simplePos x="0" y="0"/>
                <wp:positionH relativeFrom="page">
                  <wp:align>right</wp:align>
                </wp:positionH>
                <wp:positionV relativeFrom="page">
                  <wp:posOffset>8287632</wp:posOffset>
                </wp:positionV>
                <wp:extent cx="7560000" cy="3233420"/>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000" cy="32334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75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5"/>
                              <w:gridCol w:w="5376"/>
                            </w:tblGrid>
                            <w:tr w:rsidR="00C25AD0" w:rsidRPr="00B918C4" w14:paraId="0B30C383" w14:textId="77777777" w:rsidTr="00A43D8B">
                              <w:tc>
                                <w:tcPr>
                                  <w:tcW w:w="10751" w:type="dxa"/>
                                  <w:gridSpan w:val="2"/>
                                  <w:tcMar>
                                    <w:top w:w="198" w:type="dxa"/>
                                    <w:bottom w:w="85" w:type="dxa"/>
                                  </w:tcMar>
                                </w:tcPr>
                                <w:p w14:paraId="39CD11CD" w14:textId="2D6DA311" w:rsidR="00C25AD0" w:rsidRPr="00181F83" w:rsidRDefault="002E0DD2" w:rsidP="00407F00">
                                  <w:pPr>
                                    <w:pStyle w:val="Disclaimer"/>
                                  </w:pPr>
                                  <w:r>
                                    <w:rPr>
                                      <w:b/>
                                      <w:bCs/>
                                    </w:rPr>
                                    <w:t>Important information</w:t>
                                  </w:r>
                                  <w:r>
                                    <w:br/>
                                    <w:t xml:space="preserve">This document has been prepared by Count Financial Limited ABN 19 001 974 625, AFSL 227232. Count </w:t>
                                  </w:r>
                                  <w:r w:rsidR="006437E5">
                                    <w:t>Financial is</w:t>
                                  </w:r>
                                  <w:r>
                                    <w:t xml:space="preserve"> 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advisers are authorised representatives of Count. Information in this document is based on current regulatory requirements and laws, as </w:t>
                                  </w:r>
                                  <w:proofErr w:type="gramStart"/>
                                  <w:r>
                                    <w:t>at</w:t>
                                  </w:r>
                                  <w:proofErr w:type="gramEnd"/>
                                  <w:r>
                                    <w:t xml:space="preserve"> 20 March 2023,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C25AD0" w:rsidRPr="00B918C4" w14:paraId="086FFC91" w14:textId="77777777" w:rsidTr="00A43D8B">
                              <w:tc>
                                <w:tcPr>
                                  <w:tcW w:w="10751" w:type="dxa"/>
                                  <w:gridSpan w:val="2"/>
                                  <w:tcMar>
                                    <w:top w:w="85" w:type="dxa"/>
                                    <w:bottom w:w="85" w:type="dxa"/>
                                  </w:tcMar>
                                </w:tcPr>
                                <w:p w14:paraId="68C92A7D" w14:textId="77777777" w:rsidR="00C25AD0" w:rsidRPr="00181F83" w:rsidRDefault="00C25AD0" w:rsidP="00181F83">
                                  <w:pPr>
                                    <w:pStyle w:val="Disclaimer"/>
                                  </w:pPr>
                                </w:p>
                              </w:tc>
                            </w:tr>
                            <w:tr w:rsidR="00C25AD0" w:rsidRPr="00B918C4" w14:paraId="34BA74D4" w14:textId="77777777" w:rsidTr="00A43D8B">
                              <w:sdt>
                                <w:sdtPr>
                                  <w:alias w:val="Insert your firm logo here"/>
                                  <w:tag w:val="Insert your firm logo here"/>
                                  <w:id w:val="-1108508215"/>
                                  <w:showingPlcHdr/>
                                  <w:picture/>
                                </w:sdtPr>
                                <w:sdtEndPr/>
                                <w:sdtContent>
                                  <w:tc>
                                    <w:tcPr>
                                      <w:tcW w:w="5375" w:type="dxa"/>
                                      <w:tcMar>
                                        <w:top w:w="85" w:type="dxa"/>
                                        <w:bottom w:w="85" w:type="dxa"/>
                                      </w:tcMar>
                                    </w:tcPr>
                                    <w:p w14:paraId="4B390384" w14:textId="77777777" w:rsidR="00C25AD0" w:rsidRPr="00AD60C0" w:rsidRDefault="00C25AD0" w:rsidP="00AD60C0">
                                      <w:r>
                                        <w:rPr>
                                          <w:noProof/>
                                        </w:rPr>
                                        <w:drawing>
                                          <wp:inline distT="0" distB="0" distL="0" distR="0" wp14:anchorId="5E3FB4D9" wp14:editId="4D09CD03">
                                            <wp:extent cx="1440000" cy="396000"/>
                                            <wp:effectExtent l="0" t="0" r="8255" b="444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396000"/>
                                                    </a:xfrm>
                                                    <a:prstGeom prst="rect">
                                                      <a:avLst/>
                                                    </a:prstGeom>
                                                    <a:noFill/>
                                                    <a:ln>
                                                      <a:noFill/>
                                                    </a:ln>
                                                  </pic:spPr>
                                                </pic:pic>
                                              </a:graphicData>
                                            </a:graphic>
                                          </wp:inline>
                                        </w:drawing>
                                      </w:r>
                                    </w:p>
                                  </w:tc>
                                </w:sdtContent>
                              </w:sdt>
                              <w:tc>
                                <w:tcPr>
                                  <w:tcW w:w="5376" w:type="dxa"/>
                                </w:tcPr>
                                <w:p w14:paraId="6548CBAC" w14:textId="1FB7BC77" w:rsidR="00C25AD0" w:rsidRPr="00AD60C0" w:rsidRDefault="00C25AD0" w:rsidP="00DB06A0">
                                  <w:pPr>
                                    <w:jc w:val="right"/>
                                  </w:pPr>
                                </w:p>
                              </w:tc>
                            </w:tr>
                            <w:tr w:rsidR="00C25AD0" w:rsidRPr="00B918C4" w14:paraId="13F62AFF" w14:textId="77777777" w:rsidTr="00A43D8B">
                              <w:tc>
                                <w:tcPr>
                                  <w:tcW w:w="5375" w:type="dxa"/>
                                  <w:tcMar>
                                    <w:top w:w="85" w:type="dxa"/>
                                    <w:bottom w:w="85" w:type="dxa"/>
                                  </w:tcMar>
                                </w:tcPr>
                                <w:p w14:paraId="7020BFB4" w14:textId="77777777" w:rsidR="00C25AD0" w:rsidRDefault="00C25AD0" w:rsidP="00AD60C0"/>
                                <w:p w14:paraId="336762AA" w14:textId="77777777" w:rsidR="00C25AD0" w:rsidRDefault="00C25AD0" w:rsidP="00AD60C0"/>
                                <w:p w14:paraId="2040DA6B" w14:textId="77777777" w:rsidR="00C25AD0" w:rsidRDefault="00C25AD0" w:rsidP="00AD60C0"/>
                              </w:tc>
                              <w:tc>
                                <w:tcPr>
                                  <w:tcW w:w="5376" w:type="dxa"/>
                                </w:tcPr>
                                <w:p w14:paraId="7307F95C" w14:textId="77777777" w:rsidR="00C25AD0" w:rsidRDefault="00C25AD0" w:rsidP="00DB06A0">
                                  <w:pPr>
                                    <w:jc w:val="right"/>
                                    <w:rPr>
                                      <w:noProof/>
                                      <w:lang w:bidi="hi-IN"/>
                                    </w:rPr>
                                  </w:pPr>
                                </w:p>
                              </w:tc>
                            </w:tr>
                          </w:tbl>
                          <w:p w14:paraId="65DC33C1" w14:textId="77777777" w:rsidR="00C25AD0" w:rsidRPr="00B416FE" w:rsidRDefault="00C25AD0" w:rsidP="00C25AD0">
                            <w:pPr>
                              <w:pStyle w:val="Disclaimer"/>
                            </w:pPr>
                          </w:p>
                        </w:txbxContent>
                      </wps:txbx>
                      <wps:bodyPr rot="0" spcFirstLastPara="0" vertOverflow="overflow" horzOverflow="overflow" vert="horz" wrap="square" lIns="360000" tIns="45720" rIns="360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DF2AB7" id="Text Box 10" o:spid="_x0000_s1027" type="#_x0000_t202" style="position:absolute;margin-left:544.1pt;margin-top:652.55pt;width:595.3pt;height:254.6pt;z-index:251658240;visibility:visible;mso-wrap-style:square;mso-width-percent:0;mso-height-percent:0;mso-wrap-distance-left:9pt;mso-wrap-distance-top:28.35pt;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dwgwIAAIgFAAAOAAAAZHJzL2Uyb0RvYy54bWysVEtPGzEQvlfqf7B8L5sHj2rFBqUgqkoR&#10;IKDi7HjtZIXX49qT7Ka/vmPvbgKUC1VzcOydb97fzPlFWxu2VT5UYAs+PhpxpqyEsrKrgv98vP7y&#10;lbOAwpbCgFUF36nAL2afP503LlcTWIMplWdkxIa8cQVfI7o8y4Jcq1qEI3DKklCDrwXS06+y0ouG&#10;rNcmm4xGp1kDvnQepAqBvl51Qj5L9rVWEm+1DgqZKTjFhun06VzGM5udi3zlhVtXsg9D/EMUtags&#10;Od2buhIo2MZXf5mqK+khgMYjCXUGWldSpRwom/HoTTYPa+FUyoWKE9y+TOH/mZU32wd35xm236Cl&#10;BqYkgluAfA5Um6xxIe8xsaYhD4SOibba1/GfUmCkSLXd7eupWmSSPp6dnI7ox5kk2XQynR5PUsWz&#10;g7rzAb8rqFm8FNxTw1IIYrsIGAMQ+QCJ3gKYqryujEmPSBJ1aTzbCmrvcjWO7SSNVyhjWVPw0+nJ&#10;KBm2ENU7nLHRjEo06d0dUkw33BkVMcbeK82qMmX6jm8hpbI4+E/oiNLk6iOKPf4Q1UeUuzxII3kG&#10;i3vlurLgu86+Lln5PISsO3zf8dDlHUuA7bKlxCM1qGjxyxLKHTHGQzdMwcnripq3EAHvhKfpoYbT&#10;RsBbOrQBKj70N87W4H+/9z3iidQk5ayhaSx4+LURXnFmflii+7QnEqbX8ckZEYn5V6LlS5Hd1JdA&#10;nBjT9nEyXaMCmuGqPdRPtDrm0S+JhJXkveA4XC+x2xK0eqSazxOIRtYJXNgHJ4dRieR8bJ+Edz2D&#10;kch/A8PkivwNkTtsYpCbb5DImFh+qGvfARr3ROV+NcV98vKdUIcFOvsDAAD//wMAUEsDBBQABgAI&#10;AAAAIQCWaGyR3gAAAAsBAAAPAAAAZHJzL2Rvd25yZXYueG1sTI9BT8MwDIXvSPyHyEhcEEu6wlRK&#10;0wkNoXFlcOCYNaaN1jilybry7/FOcLP9np6/V61n34sJx+gCacgWCgRSE6yjVsPH+8ttASImQ9b0&#10;gVDDD0ZY15cXlSltONEbTrvUCg6hWBoNXUpDKWVsOvQmLsKAxNpXGL1JvI6ttKM5cbjv5VKplfTG&#10;EX/ozICbDpvD7ug13FhU3+l1wuX2gJ/bXLrnwm20vr6anx5BJJzTnxnO+IwONTPtw5FsFL0GLpL4&#10;mqv7DMRZzx7UCsSepyK7y0HWlfzfof4FAAD//wMAUEsBAi0AFAAGAAgAAAAhALaDOJL+AAAA4QEA&#10;ABMAAAAAAAAAAAAAAAAAAAAAAFtDb250ZW50X1R5cGVzXS54bWxQSwECLQAUAAYACAAAACEAOP0h&#10;/9YAAACUAQAACwAAAAAAAAAAAAAAAAAvAQAAX3JlbHMvLnJlbHNQSwECLQAUAAYACAAAACEA27nn&#10;cIMCAACIBQAADgAAAAAAAAAAAAAAAAAuAgAAZHJzL2Uyb0RvYy54bWxQSwECLQAUAAYACAAAACEA&#10;lmhskd4AAAALAQAADwAAAAAAAAAAAAAAAADdBAAAZHJzL2Rvd25yZXYueG1sUEsFBgAAAAAEAAQA&#10;8wAAAOgFAAAAAA==&#10;" o:allowincell="f" fillcolor="white [3212]" stroked="f" strokeweight=".5pt">
                <v:textbox style="mso-fit-shape-to-text:t" inset="10mm,,10mm">
                  <w:txbxContent>
                    <w:tbl>
                      <w:tblPr>
                        <w:tblStyle w:val="TableGrid"/>
                        <w:tblW w:w="1075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5"/>
                        <w:gridCol w:w="5376"/>
                      </w:tblGrid>
                      <w:tr w:rsidR="00C25AD0" w:rsidRPr="00B918C4" w14:paraId="0B30C383" w14:textId="77777777" w:rsidTr="00A43D8B">
                        <w:tc>
                          <w:tcPr>
                            <w:tcW w:w="10751" w:type="dxa"/>
                            <w:gridSpan w:val="2"/>
                            <w:tcMar>
                              <w:top w:w="198" w:type="dxa"/>
                              <w:bottom w:w="85" w:type="dxa"/>
                            </w:tcMar>
                          </w:tcPr>
                          <w:p w14:paraId="39CD11CD" w14:textId="2D6DA311" w:rsidR="00C25AD0" w:rsidRPr="00181F83" w:rsidRDefault="002E0DD2" w:rsidP="00407F00">
                            <w:pPr>
                              <w:pStyle w:val="Disclaimer"/>
                            </w:pPr>
                            <w:r>
                              <w:rPr>
                                <w:b/>
                                <w:bCs/>
                              </w:rPr>
                              <w:t>Important information</w:t>
                            </w:r>
                            <w:r>
                              <w:br/>
                              <w:t xml:space="preserve">This document has been prepared by Count Financial Limited ABN 19 001 974 625, AFSL 227232. Count </w:t>
                            </w:r>
                            <w:r w:rsidR="006437E5">
                              <w:t>Financial is</w:t>
                            </w:r>
                            <w:r>
                              <w:t xml:space="preserve"> 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advisers are authorised representatives of Count. Information in this document is based on current regulatory requirements and laws, as </w:t>
                            </w:r>
                            <w:proofErr w:type="gramStart"/>
                            <w:r>
                              <w:t>at</w:t>
                            </w:r>
                            <w:proofErr w:type="gramEnd"/>
                            <w:r>
                              <w:t xml:space="preserve"> 20 March 2023,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C25AD0" w:rsidRPr="00B918C4" w14:paraId="086FFC91" w14:textId="77777777" w:rsidTr="00A43D8B">
                        <w:tc>
                          <w:tcPr>
                            <w:tcW w:w="10751" w:type="dxa"/>
                            <w:gridSpan w:val="2"/>
                            <w:tcMar>
                              <w:top w:w="85" w:type="dxa"/>
                              <w:bottom w:w="85" w:type="dxa"/>
                            </w:tcMar>
                          </w:tcPr>
                          <w:p w14:paraId="68C92A7D" w14:textId="77777777" w:rsidR="00C25AD0" w:rsidRPr="00181F83" w:rsidRDefault="00C25AD0" w:rsidP="00181F83">
                            <w:pPr>
                              <w:pStyle w:val="Disclaimer"/>
                            </w:pPr>
                          </w:p>
                        </w:tc>
                      </w:tr>
                      <w:tr w:rsidR="00C25AD0" w:rsidRPr="00B918C4" w14:paraId="34BA74D4" w14:textId="77777777" w:rsidTr="00A43D8B">
                        <w:sdt>
                          <w:sdtPr>
                            <w:alias w:val="Insert your firm logo here"/>
                            <w:tag w:val="Insert your firm logo here"/>
                            <w:id w:val="-1108508215"/>
                            <w:showingPlcHdr/>
                            <w:picture/>
                          </w:sdtPr>
                          <w:sdtEndPr/>
                          <w:sdtContent>
                            <w:tc>
                              <w:tcPr>
                                <w:tcW w:w="5375" w:type="dxa"/>
                                <w:tcMar>
                                  <w:top w:w="85" w:type="dxa"/>
                                  <w:bottom w:w="85" w:type="dxa"/>
                                </w:tcMar>
                              </w:tcPr>
                              <w:p w14:paraId="4B390384" w14:textId="77777777" w:rsidR="00C25AD0" w:rsidRPr="00AD60C0" w:rsidRDefault="00C25AD0" w:rsidP="00AD60C0">
                                <w:r>
                                  <w:rPr>
                                    <w:noProof/>
                                  </w:rPr>
                                  <w:drawing>
                                    <wp:inline distT="0" distB="0" distL="0" distR="0" wp14:anchorId="5E3FB4D9" wp14:editId="4D09CD03">
                                      <wp:extent cx="1440000" cy="396000"/>
                                      <wp:effectExtent l="0" t="0" r="8255" b="444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396000"/>
                                              </a:xfrm>
                                              <a:prstGeom prst="rect">
                                                <a:avLst/>
                                              </a:prstGeom>
                                              <a:noFill/>
                                              <a:ln>
                                                <a:noFill/>
                                              </a:ln>
                                            </pic:spPr>
                                          </pic:pic>
                                        </a:graphicData>
                                      </a:graphic>
                                    </wp:inline>
                                  </w:drawing>
                                </w:r>
                              </w:p>
                            </w:tc>
                          </w:sdtContent>
                        </w:sdt>
                        <w:tc>
                          <w:tcPr>
                            <w:tcW w:w="5376" w:type="dxa"/>
                          </w:tcPr>
                          <w:p w14:paraId="6548CBAC" w14:textId="1FB7BC77" w:rsidR="00C25AD0" w:rsidRPr="00AD60C0" w:rsidRDefault="00C25AD0" w:rsidP="00DB06A0">
                            <w:pPr>
                              <w:jc w:val="right"/>
                            </w:pPr>
                          </w:p>
                        </w:tc>
                      </w:tr>
                      <w:tr w:rsidR="00C25AD0" w:rsidRPr="00B918C4" w14:paraId="13F62AFF" w14:textId="77777777" w:rsidTr="00A43D8B">
                        <w:tc>
                          <w:tcPr>
                            <w:tcW w:w="5375" w:type="dxa"/>
                            <w:tcMar>
                              <w:top w:w="85" w:type="dxa"/>
                              <w:bottom w:w="85" w:type="dxa"/>
                            </w:tcMar>
                          </w:tcPr>
                          <w:p w14:paraId="7020BFB4" w14:textId="77777777" w:rsidR="00C25AD0" w:rsidRDefault="00C25AD0" w:rsidP="00AD60C0"/>
                          <w:p w14:paraId="336762AA" w14:textId="77777777" w:rsidR="00C25AD0" w:rsidRDefault="00C25AD0" w:rsidP="00AD60C0"/>
                          <w:p w14:paraId="2040DA6B" w14:textId="77777777" w:rsidR="00C25AD0" w:rsidRDefault="00C25AD0" w:rsidP="00AD60C0"/>
                        </w:tc>
                        <w:tc>
                          <w:tcPr>
                            <w:tcW w:w="5376" w:type="dxa"/>
                          </w:tcPr>
                          <w:p w14:paraId="7307F95C" w14:textId="77777777" w:rsidR="00C25AD0" w:rsidRDefault="00C25AD0" w:rsidP="00DB06A0">
                            <w:pPr>
                              <w:jc w:val="right"/>
                              <w:rPr>
                                <w:noProof/>
                                <w:lang w:bidi="hi-IN"/>
                              </w:rPr>
                            </w:pPr>
                          </w:p>
                        </w:tc>
                      </w:tr>
                    </w:tbl>
                    <w:p w14:paraId="65DC33C1" w14:textId="77777777" w:rsidR="00C25AD0" w:rsidRPr="00B416FE" w:rsidRDefault="00C25AD0" w:rsidP="00C25AD0">
                      <w:pPr>
                        <w:pStyle w:val="Disclaimer"/>
                      </w:pPr>
                    </w:p>
                  </w:txbxContent>
                </v:textbox>
                <w10:wrap anchorx="page" anchory="page"/>
              </v:shape>
            </w:pict>
          </mc:Fallback>
        </mc:AlternateContent>
      </w:r>
    </w:p>
    <w:sectPr w:rsidR="00FB2A81" w:rsidRPr="0086264A" w:rsidSect="004266E2">
      <w:footerReference w:type="default" r:id="rId13"/>
      <w:headerReference w:type="first" r:id="rId14"/>
      <w:footerReference w:type="first" r:id="rId15"/>
      <w:type w:val="continuous"/>
      <w:pgSz w:w="11907" w:h="16840" w:code="9"/>
      <w:pgMar w:top="680" w:right="680" w:bottom="340" w:left="680" w:header="454" w:footer="3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B17E" w14:textId="77777777" w:rsidR="002B7BC7" w:rsidRDefault="002B7BC7" w:rsidP="00140398">
      <w:r>
        <w:separator/>
      </w:r>
    </w:p>
  </w:endnote>
  <w:endnote w:type="continuationSeparator" w:id="0">
    <w:p w14:paraId="46CBDF3A" w14:textId="77777777" w:rsidR="002B7BC7" w:rsidRDefault="002B7BC7" w:rsidP="00140398">
      <w:r>
        <w:continuationSeparator/>
      </w:r>
    </w:p>
  </w:endnote>
  <w:endnote w:type="continuationNotice" w:id="1">
    <w:p w14:paraId="62DBD75A" w14:textId="77777777" w:rsidR="00231EB1" w:rsidRDefault="00231E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D6D8" w14:textId="77777777" w:rsidR="007D6B21" w:rsidRPr="007C76D3" w:rsidRDefault="007D6B21" w:rsidP="007C7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A83E" w14:textId="77777777" w:rsidR="00422BD8" w:rsidRPr="00183019" w:rsidRDefault="00422BD8" w:rsidP="0018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4BF3" w14:textId="77777777" w:rsidR="002B7BC7" w:rsidRDefault="002B7BC7" w:rsidP="002444B6">
      <w:pPr>
        <w:spacing w:before="0" w:after="0"/>
      </w:pPr>
      <w:r>
        <w:separator/>
      </w:r>
    </w:p>
  </w:footnote>
  <w:footnote w:type="continuationSeparator" w:id="0">
    <w:p w14:paraId="61A11958" w14:textId="77777777" w:rsidR="002B7BC7" w:rsidRDefault="002B7BC7" w:rsidP="00140398">
      <w:r>
        <w:continuationSeparator/>
      </w:r>
    </w:p>
  </w:footnote>
  <w:footnote w:type="continuationNotice" w:id="1">
    <w:p w14:paraId="4A2856D9" w14:textId="77777777" w:rsidR="00231EB1" w:rsidRDefault="00231EB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8D70" w14:textId="3FF77D50" w:rsidR="004E1AC7" w:rsidRDefault="00C77EBC">
    <w:pPr>
      <w:pStyle w:val="Header"/>
    </w:pPr>
    <w:r>
      <w:rPr>
        <w:noProof/>
      </w:rPr>
      <w:drawing>
        <wp:anchor distT="0" distB="0" distL="114300" distR="114300" simplePos="0" relativeHeight="251658240" behindDoc="0" locked="0" layoutInCell="1" allowOverlap="1" wp14:anchorId="4E7B082E" wp14:editId="0BC01944">
          <wp:simplePos x="0" y="0"/>
          <wp:positionH relativeFrom="page">
            <wp:align>left</wp:align>
          </wp:positionH>
          <wp:positionV relativeFrom="paragraph">
            <wp:posOffset>-288290</wp:posOffset>
          </wp:positionV>
          <wp:extent cx="7563855" cy="1657350"/>
          <wp:effectExtent l="0" t="0" r="0" b="0"/>
          <wp:wrapNone/>
          <wp:docPr id="759016211" name="Picture 75901621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410978" name="Picture 1" descr="A white background with black dot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209" cy="16659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60AF" w14:textId="77777777" w:rsidR="00C77EBC" w:rsidRPr="00587074" w:rsidRDefault="00C77EBC" w:rsidP="00587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5CC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C8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ADC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C84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85B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2C6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9A5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0AD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825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AEC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C4088"/>
    <w:multiLevelType w:val="hybridMultilevel"/>
    <w:tmpl w:val="D62283BE"/>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523DE8"/>
    <w:multiLevelType w:val="hybridMultilevel"/>
    <w:tmpl w:val="4B06AE7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A63B73"/>
    <w:multiLevelType w:val="hybridMultilevel"/>
    <w:tmpl w:val="F418EC76"/>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4AC5D21"/>
    <w:multiLevelType w:val="hybridMultilevel"/>
    <w:tmpl w:val="F636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1F7651"/>
    <w:multiLevelType w:val="hybridMultilevel"/>
    <w:tmpl w:val="4A06535E"/>
    <w:lvl w:ilvl="0" w:tplc="18ACBC82">
      <w:start w:val="1"/>
      <w:numFmt w:val="bullet"/>
      <w:lvlText w:val="▪"/>
      <w:lvlJc w:val="left"/>
      <w:pPr>
        <w:tabs>
          <w:tab w:val="num" w:pos="643"/>
        </w:tabs>
        <w:ind w:left="643"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B03668"/>
    <w:multiLevelType w:val="hybridMultilevel"/>
    <w:tmpl w:val="07408C66"/>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11349E"/>
    <w:multiLevelType w:val="hybridMultilevel"/>
    <w:tmpl w:val="A1EE9138"/>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90160"/>
    <w:multiLevelType w:val="hybridMultilevel"/>
    <w:tmpl w:val="C10EC3B0"/>
    <w:lvl w:ilvl="0" w:tplc="EE5AA03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AF71D2C"/>
    <w:multiLevelType w:val="hybridMultilevel"/>
    <w:tmpl w:val="8CC04470"/>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FE46AE"/>
    <w:multiLevelType w:val="hybridMultilevel"/>
    <w:tmpl w:val="A376854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604FF2"/>
    <w:multiLevelType w:val="hybridMultilevel"/>
    <w:tmpl w:val="80FCCAF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0F4968"/>
    <w:multiLevelType w:val="hybridMultilevel"/>
    <w:tmpl w:val="B23E9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A872E4F"/>
    <w:multiLevelType w:val="hybridMultilevel"/>
    <w:tmpl w:val="7BD62E1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104D48"/>
    <w:multiLevelType w:val="hybridMultilevel"/>
    <w:tmpl w:val="00D67440"/>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5F360D"/>
    <w:multiLevelType w:val="hybridMultilevel"/>
    <w:tmpl w:val="A3EE867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CC507B"/>
    <w:multiLevelType w:val="multilevel"/>
    <w:tmpl w:val="599C3906"/>
    <w:lvl w:ilvl="0">
      <w:start w:val="1"/>
      <w:numFmt w:val="bullet"/>
      <w:lvlText w:val=""/>
      <w:lvlJc w:val="left"/>
      <w:pPr>
        <w:tabs>
          <w:tab w:val="num" w:pos="357"/>
        </w:tabs>
        <w:ind w:left="357" w:hanging="357"/>
      </w:pPr>
      <w:rPr>
        <w:rFonts w:ascii="Symbol" w:hAnsi="Symbol" w:hint="default"/>
        <w:sz w:val="16"/>
      </w:rPr>
    </w:lvl>
    <w:lvl w:ilvl="1">
      <w:start w:val="1"/>
      <w:numFmt w:val="bullet"/>
      <w:lvlText w:val=""/>
      <w:lvlJc w:val="left"/>
      <w:pPr>
        <w:tabs>
          <w:tab w:val="num" w:pos="357"/>
        </w:tabs>
        <w:ind w:left="1077" w:hanging="357"/>
      </w:pPr>
      <w:rPr>
        <w:rFonts w:ascii="Symbol" w:hAnsi="Symbol" w:hint="default"/>
        <w:sz w:val="16"/>
      </w:rPr>
    </w:lvl>
    <w:lvl w:ilvl="2">
      <w:start w:val="1"/>
      <w:numFmt w:val="bullet"/>
      <w:lvlRestart w:val="0"/>
      <w:lvlText w:val=""/>
      <w:lvlJc w:val="left"/>
      <w:pPr>
        <w:tabs>
          <w:tab w:val="num" w:pos="1872"/>
        </w:tabs>
        <w:ind w:left="1872" w:hanging="432"/>
      </w:pPr>
      <w:rPr>
        <w:rFonts w:ascii="Symbol" w:hAnsi="Symbol" w:hint="default"/>
        <w:sz w:val="16"/>
      </w:rPr>
    </w:lvl>
    <w:lvl w:ilvl="3">
      <w:start w:val="1"/>
      <w:numFmt w:val="bullet"/>
      <w:lvlRestart w:val="0"/>
      <w:lvlText w:val=""/>
      <w:lvlJc w:val="left"/>
      <w:pPr>
        <w:tabs>
          <w:tab w:val="num" w:pos="2592"/>
        </w:tabs>
        <w:ind w:left="2592" w:hanging="432"/>
      </w:pPr>
      <w:rPr>
        <w:rFonts w:ascii="Symbol" w:hAnsi="Symbol" w:hint="default"/>
        <w:sz w:val="16"/>
      </w:rPr>
    </w:lvl>
    <w:lvl w:ilvl="4">
      <w:start w:val="1"/>
      <w:numFmt w:val="bullet"/>
      <w:lvlText w:val=""/>
      <w:lvlJc w:val="left"/>
      <w:pPr>
        <w:tabs>
          <w:tab w:val="num" w:pos="425"/>
        </w:tabs>
        <w:ind w:left="425" w:hanging="720"/>
      </w:pPr>
      <w:rPr>
        <w:rFonts w:ascii="Symbol" w:hAnsi="Symbol" w:hint="default"/>
        <w:sz w:val="20"/>
      </w:rPr>
    </w:lvl>
    <w:lvl w:ilvl="5">
      <w:start w:val="1"/>
      <w:numFmt w:val="bullet"/>
      <w:lvlText w:val=""/>
      <w:lvlJc w:val="left"/>
      <w:pPr>
        <w:tabs>
          <w:tab w:val="num" w:pos="425"/>
        </w:tabs>
        <w:ind w:left="425" w:hanging="720"/>
      </w:pPr>
      <w:rPr>
        <w:rFonts w:ascii="Symbol" w:hAnsi="Symbol" w:hint="default"/>
        <w:sz w:val="10"/>
      </w:rPr>
    </w:lvl>
    <w:lvl w:ilvl="6">
      <w:start w:val="1"/>
      <w:numFmt w:val="bullet"/>
      <w:lvlText w:val=""/>
      <w:lvlJc w:val="left"/>
      <w:pPr>
        <w:tabs>
          <w:tab w:val="num" w:pos="65"/>
        </w:tabs>
        <w:ind w:left="65" w:hanging="360"/>
      </w:pPr>
      <w:rPr>
        <w:rFonts w:ascii="Wingdings" w:hAnsi="Wingdings" w:hint="default"/>
      </w:rPr>
    </w:lvl>
    <w:lvl w:ilvl="7">
      <w:start w:val="1"/>
      <w:numFmt w:val="bullet"/>
      <w:lvlText w:val=""/>
      <w:lvlJc w:val="left"/>
      <w:pPr>
        <w:tabs>
          <w:tab w:val="num" w:pos="425"/>
        </w:tabs>
        <w:ind w:left="425" w:hanging="360"/>
      </w:pPr>
      <w:rPr>
        <w:rFonts w:ascii="Symbol" w:hAnsi="Symbol" w:hint="default"/>
      </w:rPr>
    </w:lvl>
    <w:lvl w:ilvl="8">
      <w:start w:val="1"/>
      <w:numFmt w:val="bullet"/>
      <w:lvlText w:val=""/>
      <w:lvlJc w:val="left"/>
      <w:pPr>
        <w:tabs>
          <w:tab w:val="num" w:pos="785"/>
        </w:tabs>
        <w:ind w:left="785" w:hanging="360"/>
      </w:pPr>
      <w:rPr>
        <w:rFonts w:ascii="Symbol" w:hAnsi="Symbol" w:hint="default"/>
      </w:rPr>
    </w:lvl>
  </w:abstractNum>
  <w:abstractNum w:abstractNumId="26" w15:restartNumberingAfterBreak="0">
    <w:nsid w:val="387E78A6"/>
    <w:multiLevelType w:val="hybridMultilevel"/>
    <w:tmpl w:val="7D0CBD5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5B7DBE"/>
    <w:multiLevelType w:val="hybridMultilevel"/>
    <w:tmpl w:val="82487E0A"/>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A54D6D"/>
    <w:multiLevelType w:val="hybridMultilevel"/>
    <w:tmpl w:val="4768CDB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862348"/>
    <w:multiLevelType w:val="hybridMultilevel"/>
    <w:tmpl w:val="FE1AB86C"/>
    <w:lvl w:ilvl="0" w:tplc="8A1AA2AE">
      <w:start w:val="1"/>
      <w:numFmt w:val="bullet"/>
      <w:lvlText w:val=""/>
      <w:lvlJc w:val="left"/>
      <w:pPr>
        <w:tabs>
          <w:tab w:val="num" w:pos="360"/>
        </w:tabs>
        <w:ind w:left="360" w:hanging="360"/>
      </w:pPr>
      <w:rPr>
        <w:rFonts w:ascii="Symbol" w:hAnsi="Symbol" w:hint="default"/>
      </w:rPr>
    </w:lvl>
    <w:lvl w:ilvl="1" w:tplc="3C8639F2">
      <w:start w:val="8"/>
      <w:numFmt w:val="bullet"/>
      <w:lvlText w:val="-"/>
      <w:lvlJc w:val="left"/>
      <w:pPr>
        <w:tabs>
          <w:tab w:val="num" w:pos="1080"/>
        </w:tabs>
        <w:ind w:left="1080" w:hanging="360"/>
      </w:pPr>
      <w:rPr>
        <w:rFonts w:ascii="Verdana" w:eastAsia="Times New Roman" w:hAnsi="Verdana"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Verdana"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Verdana"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28B04B9"/>
    <w:multiLevelType w:val="hybridMultilevel"/>
    <w:tmpl w:val="B31815E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804693"/>
    <w:multiLevelType w:val="hybridMultilevel"/>
    <w:tmpl w:val="78C822DA"/>
    <w:lvl w:ilvl="0" w:tplc="DC00972A">
      <w:start w:val="1"/>
      <w:numFmt w:val="bullet"/>
      <w:lvlText w:val=""/>
      <w:lvlJc w:val="left"/>
      <w:pPr>
        <w:ind w:left="720" w:hanging="360"/>
      </w:pPr>
      <w:rPr>
        <w:rFonts w:ascii="Symbol" w:hAnsi="Symbol" w:hint="default"/>
        <w:color w:val="009ED7"/>
        <w:u w:color="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413978"/>
    <w:multiLevelType w:val="hybridMultilevel"/>
    <w:tmpl w:val="344CB26E"/>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E920481"/>
    <w:multiLevelType w:val="hybridMultilevel"/>
    <w:tmpl w:val="DBE0AB46"/>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018708F"/>
    <w:multiLevelType w:val="multilevel"/>
    <w:tmpl w:val="96D4ECC8"/>
    <w:lvl w:ilvl="0">
      <w:start w:val="1"/>
      <w:numFmt w:val="bullet"/>
      <w:pStyle w:val="ListBullet"/>
      <w:lvlText w:val="■"/>
      <w:lvlJc w:val="left"/>
      <w:pPr>
        <w:tabs>
          <w:tab w:val="num" w:pos="360"/>
        </w:tabs>
        <w:ind w:left="360" w:hanging="360"/>
      </w:pPr>
      <w:rPr>
        <w:rFonts w:ascii="Arial" w:hAnsi="Arial" w:hint="default"/>
      </w:rPr>
    </w:lvl>
    <w:lvl w:ilvl="1">
      <w:start w:val="1"/>
      <w:numFmt w:val="bullet"/>
      <w:pStyle w:val="ListBullet2"/>
      <w:lvlText w:val="▪"/>
      <w:lvlJc w:val="left"/>
      <w:pPr>
        <w:ind w:left="714" w:hanging="357"/>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76021A"/>
    <w:multiLevelType w:val="hybridMultilevel"/>
    <w:tmpl w:val="B14C5EF4"/>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1031597"/>
    <w:multiLevelType w:val="hybridMultilevel"/>
    <w:tmpl w:val="7E0E3ED8"/>
    <w:lvl w:ilvl="0" w:tplc="74A20696">
      <w:start w:val="1"/>
      <w:numFmt w:val="bullet"/>
      <w:lvlText w:val=""/>
      <w:lvlJc w:val="left"/>
      <w:pPr>
        <w:tabs>
          <w:tab w:val="num" w:pos="360"/>
        </w:tabs>
        <w:ind w:left="360" w:hanging="360"/>
      </w:pPr>
      <w:rPr>
        <w:rFonts w:ascii="Symbol" w:hAnsi="Symbol" w:hint="default"/>
        <w:color w:val="026EB5"/>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E66896"/>
    <w:multiLevelType w:val="hybridMultilevel"/>
    <w:tmpl w:val="391C54D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7C0C53"/>
    <w:multiLevelType w:val="hybridMultilevel"/>
    <w:tmpl w:val="19B2037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A832DF"/>
    <w:multiLevelType w:val="hybridMultilevel"/>
    <w:tmpl w:val="9D7E8906"/>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09D0953"/>
    <w:multiLevelType w:val="hybridMultilevel"/>
    <w:tmpl w:val="CC08FE5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657BA3"/>
    <w:multiLevelType w:val="hybridMultilevel"/>
    <w:tmpl w:val="E8942614"/>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5B61C95"/>
    <w:multiLevelType w:val="hybridMultilevel"/>
    <w:tmpl w:val="5AEA3CB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660856"/>
    <w:multiLevelType w:val="hybridMultilevel"/>
    <w:tmpl w:val="EACE6E4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AB4AFB"/>
    <w:multiLevelType w:val="hybridMultilevel"/>
    <w:tmpl w:val="CF86E17A"/>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71658891">
    <w:abstractNumId w:val="17"/>
  </w:num>
  <w:num w:numId="2" w16cid:durableId="640892362">
    <w:abstractNumId w:val="29"/>
  </w:num>
  <w:num w:numId="3" w16cid:durableId="1094207943">
    <w:abstractNumId w:val="25"/>
  </w:num>
  <w:num w:numId="4" w16cid:durableId="70154902">
    <w:abstractNumId w:val="36"/>
  </w:num>
  <w:num w:numId="5" w16cid:durableId="562063752">
    <w:abstractNumId w:val="33"/>
  </w:num>
  <w:num w:numId="6" w16cid:durableId="1394348126">
    <w:abstractNumId w:val="28"/>
  </w:num>
  <w:num w:numId="7" w16cid:durableId="1171488239">
    <w:abstractNumId w:val="26"/>
  </w:num>
  <w:num w:numId="8" w16cid:durableId="579798481">
    <w:abstractNumId w:val="16"/>
  </w:num>
  <w:num w:numId="9" w16cid:durableId="893348115">
    <w:abstractNumId w:val="24"/>
  </w:num>
  <w:num w:numId="10" w16cid:durableId="2081711581">
    <w:abstractNumId w:val="22"/>
  </w:num>
  <w:num w:numId="11" w16cid:durableId="804204211">
    <w:abstractNumId w:val="12"/>
  </w:num>
  <w:num w:numId="12" w16cid:durableId="1352729688">
    <w:abstractNumId w:val="44"/>
  </w:num>
  <w:num w:numId="13" w16cid:durableId="1415930531">
    <w:abstractNumId w:val="41"/>
  </w:num>
  <w:num w:numId="14" w16cid:durableId="791942027">
    <w:abstractNumId w:val="32"/>
  </w:num>
  <w:num w:numId="15" w16cid:durableId="1093284558">
    <w:abstractNumId w:val="31"/>
  </w:num>
  <w:num w:numId="16" w16cid:durableId="106193415">
    <w:abstractNumId w:val="10"/>
  </w:num>
  <w:num w:numId="17" w16cid:durableId="1334340578">
    <w:abstractNumId w:val="39"/>
  </w:num>
  <w:num w:numId="18" w16cid:durableId="880941817">
    <w:abstractNumId w:val="35"/>
  </w:num>
  <w:num w:numId="19" w16cid:durableId="283510991">
    <w:abstractNumId w:val="9"/>
  </w:num>
  <w:num w:numId="20" w16cid:durableId="983310699">
    <w:abstractNumId w:val="7"/>
  </w:num>
  <w:num w:numId="21" w16cid:durableId="455947510">
    <w:abstractNumId w:val="6"/>
  </w:num>
  <w:num w:numId="22" w16cid:durableId="527721125">
    <w:abstractNumId w:val="5"/>
  </w:num>
  <w:num w:numId="23" w16cid:durableId="1010722809">
    <w:abstractNumId w:val="4"/>
  </w:num>
  <w:num w:numId="24" w16cid:durableId="23022813">
    <w:abstractNumId w:val="8"/>
  </w:num>
  <w:num w:numId="25" w16cid:durableId="934557987">
    <w:abstractNumId w:val="3"/>
  </w:num>
  <w:num w:numId="26" w16cid:durableId="161236950">
    <w:abstractNumId w:val="2"/>
  </w:num>
  <w:num w:numId="27" w16cid:durableId="1214776515">
    <w:abstractNumId w:val="1"/>
  </w:num>
  <w:num w:numId="28" w16cid:durableId="637566351">
    <w:abstractNumId w:val="0"/>
  </w:num>
  <w:num w:numId="29" w16cid:durableId="1322932131">
    <w:abstractNumId w:val="23"/>
  </w:num>
  <w:num w:numId="30" w16cid:durableId="18362916">
    <w:abstractNumId w:val="43"/>
  </w:num>
  <w:num w:numId="31" w16cid:durableId="969439386">
    <w:abstractNumId w:val="11"/>
  </w:num>
  <w:num w:numId="32" w16cid:durableId="551159381">
    <w:abstractNumId w:val="18"/>
  </w:num>
  <w:num w:numId="33" w16cid:durableId="1246181379">
    <w:abstractNumId w:val="20"/>
  </w:num>
  <w:num w:numId="34" w16cid:durableId="1674919128">
    <w:abstractNumId w:val="38"/>
  </w:num>
  <w:num w:numId="35" w16cid:durableId="803356790">
    <w:abstractNumId w:val="42"/>
  </w:num>
  <w:num w:numId="36" w16cid:durableId="285235097">
    <w:abstractNumId w:val="40"/>
  </w:num>
  <w:num w:numId="37" w16cid:durableId="236283525">
    <w:abstractNumId w:val="15"/>
  </w:num>
  <w:num w:numId="38" w16cid:durableId="869877874">
    <w:abstractNumId w:val="37"/>
  </w:num>
  <w:num w:numId="39" w16cid:durableId="313268053">
    <w:abstractNumId w:val="19"/>
  </w:num>
  <w:num w:numId="40" w16cid:durableId="1039860408">
    <w:abstractNumId w:val="27"/>
  </w:num>
  <w:num w:numId="41" w16cid:durableId="1493568989">
    <w:abstractNumId w:val="30"/>
  </w:num>
  <w:num w:numId="42" w16cid:durableId="777725258">
    <w:abstractNumId w:val="13"/>
  </w:num>
  <w:num w:numId="43" w16cid:durableId="1793090194">
    <w:abstractNumId w:val="21"/>
  </w:num>
  <w:num w:numId="44" w16cid:durableId="779837623">
    <w:abstractNumId w:val="34"/>
  </w:num>
  <w:num w:numId="45" w16cid:durableId="1888490901">
    <w:abstractNumId w:val="14"/>
  </w:num>
  <w:num w:numId="46" w16cid:durableId="11997054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70"/>
    <w:rsid w:val="0000476C"/>
    <w:rsid w:val="00010AAF"/>
    <w:rsid w:val="00012A5F"/>
    <w:rsid w:val="0001664A"/>
    <w:rsid w:val="00020FFA"/>
    <w:rsid w:val="00021BF2"/>
    <w:rsid w:val="00023E8E"/>
    <w:rsid w:val="00025158"/>
    <w:rsid w:val="000324B5"/>
    <w:rsid w:val="00033266"/>
    <w:rsid w:val="00034579"/>
    <w:rsid w:val="00034D53"/>
    <w:rsid w:val="00042F43"/>
    <w:rsid w:val="00044E7A"/>
    <w:rsid w:val="000546C3"/>
    <w:rsid w:val="00055DAA"/>
    <w:rsid w:val="00063656"/>
    <w:rsid w:val="000704A0"/>
    <w:rsid w:val="00080473"/>
    <w:rsid w:val="000806B8"/>
    <w:rsid w:val="0008116B"/>
    <w:rsid w:val="00087863"/>
    <w:rsid w:val="00087A1D"/>
    <w:rsid w:val="00090757"/>
    <w:rsid w:val="0009189B"/>
    <w:rsid w:val="0009209A"/>
    <w:rsid w:val="000A0877"/>
    <w:rsid w:val="000A2D82"/>
    <w:rsid w:val="000A7BC2"/>
    <w:rsid w:val="000B056A"/>
    <w:rsid w:val="000B17B2"/>
    <w:rsid w:val="000B1ED7"/>
    <w:rsid w:val="000B3F7E"/>
    <w:rsid w:val="000B719B"/>
    <w:rsid w:val="000C0D1B"/>
    <w:rsid w:val="000C3D34"/>
    <w:rsid w:val="000D0FA1"/>
    <w:rsid w:val="000E5328"/>
    <w:rsid w:val="000E5920"/>
    <w:rsid w:val="000F3918"/>
    <w:rsid w:val="000F4F93"/>
    <w:rsid w:val="000F67EA"/>
    <w:rsid w:val="000F7977"/>
    <w:rsid w:val="00111A30"/>
    <w:rsid w:val="00112AE2"/>
    <w:rsid w:val="00114701"/>
    <w:rsid w:val="0012279D"/>
    <w:rsid w:val="00124D1B"/>
    <w:rsid w:val="00125976"/>
    <w:rsid w:val="00126427"/>
    <w:rsid w:val="00126756"/>
    <w:rsid w:val="00130C52"/>
    <w:rsid w:val="00135865"/>
    <w:rsid w:val="00137685"/>
    <w:rsid w:val="00137A29"/>
    <w:rsid w:val="00140B29"/>
    <w:rsid w:val="00144627"/>
    <w:rsid w:val="00144E16"/>
    <w:rsid w:val="001528EF"/>
    <w:rsid w:val="00152CEE"/>
    <w:rsid w:val="001536AE"/>
    <w:rsid w:val="001547D3"/>
    <w:rsid w:val="001553D0"/>
    <w:rsid w:val="001600B2"/>
    <w:rsid w:val="00164C17"/>
    <w:rsid w:val="00170E36"/>
    <w:rsid w:val="0017105D"/>
    <w:rsid w:val="00175845"/>
    <w:rsid w:val="00182856"/>
    <w:rsid w:val="00183019"/>
    <w:rsid w:val="001840AC"/>
    <w:rsid w:val="00186BBE"/>
    <w:rsid w:val="00190791"/>
    <w:rsid w:val="00191E74"/>
    <w:rsid w:val="001A1110"/>
    <w:rsid w:val="001A2563"/>
    <w:rsid w:val="001A3F7D"/>
    <w:rsid w:val="001A457D"/>
    <w:rsid w:val="001A4B45"/>
    <w:rsid w:val="001A6165"/>
    <w:rsid w:val="001A7A97"/>
    <w:rsid w:val="001B53F1"/>
    <w:rsid w:val="001B6CB5"/>
    <w:rsid w:val="001C2001"/>
    <w:rsid w:val="001C4C78"/>
    <w:rsid w:val="001D1397"/>
    <w:rsid w:val="001D1A39"/>
    <w:rsid w:val="001D56EA"/>
    <w:rsid w:val="001D5CDF"/>
    <w:rsid w:val="001D5EFD"/>
    <w:rsid w:val="001E2825"/>
    <w:rsid w:val="001E3E6E"/>
    <w:rsid w:val="001E4CAE"/>
    <w:rsid w:val="001F11F8"/>
    <w:rsid w:val="001F26EA"/>
    <w:rsid w:val="001F3589"/>
    <w:rsid w:val="001F4560"/>
    <w:rsid w:val="001F47F8"/>
    <w:rsid w:val="0020079B"/>
    <w:rsid w:val="002028E9"/>
    <w:rsid w:val="00205F69"/>
    <w:rsid w:val="00207298"/>
    <w:rsid w:val="002073C8"/>
    <w:rsid w:val="00211478"/>
    <w:rsid w:val="002168A2"/>
    <w:rsid w:val="00220400"/>
    <w:rsid w:val="0022761F"/>
    <w:rsid w:val="0023155E"/>
    <w:rsid w:val="00231EB1"/>
    <w:rsid w:val="00234587"/>
    <w:rsid w:val="00236665"/>
    <w:rsid w:val="00237B26"/>
    <w:rsid w:val="0024018C"/>
    <w:rsid w:val="002444B6"/>
    <w:rsid w:val="00250463"/>
    <w:rsid w:val="002614F9"/>
    <w:rsid w:val="00264C91"/>
    <w:rsid w:val="00265E88"/>
    <w:rsid w:val="00267237"/>
    <w:rsid w:val="00270CE9"/>
    <w:rsid w:val="0027101D"/>
    <w:rsid w:val="00271883"/>
    <w:rsid w:val="0027505A"/>
    <w:rsid w:val="0027625C"/>
    <w:rsid w:val="00276777"/>
    <w:rsid w:val="002812B6"/>
    <w:rsid w:val="00284C92"/>
    <w:rsid w:val="002857C5"/>
    <w:rsid w:val="002858DE"/>
    <w:rsid w:val="00286A18"/>
    <w:rsid w:val="0028789F"/>
    <w:rsid w:val="00292EF3"/>
    <w:rsid w:val="002930C5"/>
    <w:rsid w:val="002932A8"/>
    <w:rsid w:val="002B5D86"/>
    <w:rsid w:val="002B7BC7"/>
    <w:rsid w:val="002C066F"/>
    <w:rsid w:val="002C515B"/>
    <w:rsid w:val="002D5CFC"/>
    <w:rsid w:val="002E0DD2"/>
    <w:rsid w:val="002E420C"/>
    <w:rsid w:val="002E787D"/>
    <w:rsid w:val="0030009A"/>
    <w:rsid w:val="00302FE9"/>
    <w:rsid w:val="00304F36"/>
    <w:rsid w:val="00305B3A"/>
    <w:rsid w:val="00307AA6"/>
    <w:rsid w:val="003114F9"/>
    <w:rsid w:val="00312F9F"/>
    <w:rsid w:val="003130AE"/>
    <w:rsid w:val="00314FA1"/>
    <w:rsid w:val="003162E4"/>
    <w:rsid w:val="0032212A"/>
    <w:rsid w:val="00326422"/>
    <w:rsid w:val="00333E85"/>
    <w:rsid w:val="00347B15"/>
    <w:rsid w:val="003547B1"/>
    <w:rsid w:val="00361A97"/>
    <w:rsid w:val="00364633"/>
    <w:rsid w:val="00364C60"/>
    <w:rsid w:val="00364D77"/>
    <w:rsid w:val="0036552C"/>
    <w:rsid w:val="00366B9A"/>
    <w:rsid w:val="00382103"/>
    <w:rsid w:val="00386A3C"/>
    <w:rsid w:val="003A5C39"/>
    <w:rsid w:val="003A6D39"/>
    <w:rsid w:val="003B0F58"/>
    <w:rsid w:val="003B4540"/>
    <w:rsid w:val="003C46F1"/>
    <w:rsid w:val="003C7953"/>
    <w:rsid w:val="003D4918"/>
    <w:rsid w:val="003E273A"/>
    <w:rsid w:val="003E37D7"/>
    <w:rsid w:val="003E3894"/>
    <w:rsid w:val="003E7E34"/>
    <w:rsid w:val="003F27E8"/>
    <w:rsid w:val="003F37ED"/>
    <w:rsid w:val="003F6CFC"/>
    <w:rsid w:val="003F6DAB"/>
    <w:rsid w:val="00400A59"/>
    <w:rsid w:val="00403353"/>
    <w:rsid w:val="00404995"/>
    <w:rsid w:val="00407F00"/>
    <w:rsid w:val="0041165E"/>
    <w:rsid w:val="00414F87"/>
    <w:rsid w:val="00420F32"/>
    <w:rsid w:val="00422BD8"/>
    <w:rsid w:val="00423ABE"/>
    <w:rsid w:val="0042572A"/>
    <w:rsid w:val="004266E2"/>
    <w:rsid w:val="00426D18"/>
    <w:rsid w:val="0043323C"/>
    <w:rsid w:val="004411E7"/>
    <w:rsid w:val="0044377A"/>
    <w:rsid w:val="00446B18"/>
    <w:rsid w:val="004549CA"/>
    <w:rsid w:val="00462F67"/>
    <w:rsid w:val="00473E33"/>
    <w:rsid w:val="004765E5"/>
    <w:rsid w:val="00482A89"/>
    <w:rsid w:val="00482DA7"/>
    <w:rsid w:val="004864E7"/>
    <w:rsid w:val="004867BE"/>
    <w:rsid w:val="00486E45"/>
    <w:rsid w:val="004922BA"/>
    <w:rsid w:val="004A05B6"/>
    <w:rsid w:val="004A0D5B"/>
    <w:rsid w:val="004A1819"/>
    <w:rsid w:val="004A3253"/>
    <w:rsid w:val="004A59D6"/>
    <w:rsid w:val="004B1E25"/>
    <w:rsid w:val="004B4A9B"/>
    <w:rsid w:val="004C2F98"/>
    <w:rsid w:val="004C7051"/>
    <w:rsid w:val="004D0110"/>
    <w:rsid w:val="004D32CC"/>
    <w:rsid w:val="004D36F4"/>
    <w:rsid w:val="004E00A8"/>
    <w:rsid w:val="004E09F6"/>
    <w:rsid w:val="004E14FE"/>
    <w:rsid w:val="004E1AC7"/>
    <w:rsid w:val="004E27E5"/>
    <w:rsid w:val="004E334F"/>
    <w:rsid w:val="004F05BC"/>
    <w:rsid w:val="004F10FE"/>
    <w:rsid w:val="004F7048"/>
    <w:rsid w:val="00500BC5"/>
    <w:rsid w:val="0051072B"/>
    <w:rsid w:val="005165D8"/>
    <w:rsid w:val="005230C5"/>
    <w:rsid w:val="00531C92"/>
    <w:rsid w:val="00533984"/>
    <w:rsid w:val="00536ED9"/>
    <w:rsid w:val="005433D5"/>
    <w:rsid w:val="00543FF3"/>
    <w:rsid w:val="0055547C"/>
    <w:rsid w:val="0055755C"/>
    <w:rsid w:val="00560F74"/>
    <w:rsid w:val="00564126"/>
    <w:rsid w:val="00584990"/>
    <w:rsid w:val="00587074"/>
    <w:rsid w:val="005964A7"/>
    <w:rsid w:val="005A5415"/>
    <w:rsid w:val="005B50B9"/>
    <w:rsid w:val="005B5A14"/>
    <w:rsid w:val="005D5F8C"/>
    <w:rsid w:val="005E552C"/>
    <w:rsid w:val="005E75DD"/>
    <w:rsid w:val="005F0345"/>
    <w:rsid w:val="005F3BDC"/>
    <w:rsid w:val="00603C00"/>
    <w:rsid w:val="0060674D"/>
    <w:rsid w:val="006107F1"/>
    <w:rsid w:val="00615036"/>
    <w:rsid w:val="006156AF"/>
    <w:rsid w:val="00620FB4"/>
    <w:rsid w:val="006246E1"/>
    <w:rsid w:val="00632270"/>
    <w:rsid w:val="00632278"/>
    <w:rsid w:val="006335C3"/>
    <w:rsid w:val="00636DD3"/>
    <w:rsid w:val="006374D8"/>
    <w:rsid w:val="00640521"/>
    <w:rsid w:val="006437E5"/>
    <w:rsid w:val="006478A5"/>
    <w:rsid w:val="006548F5"/>
    <w:rsid w:val="00660A05"/>
    <w:rsid w:val="00660BAC"/>
    <w:rsid w:val="00661533"/>
    <w:rsid w:val="00665069"/>
    <w:rsid w:val="006706B8"/>
    <w:rsid w:val="00671D5E"/>
    <w:rsid w:val="00672227"/>
    <w:rsid w:val="00674E22"/>
    <w:rsid w:val="0067588C"/>
    <w:rsid w:val="00677E64"/>
    <w:rsid w:val="00682ACD"/>
    <w:rsid w:val="00686F89"/>
    <w:rsid w:val="00687ACC"/>
    <w:rsid w:val="00691C58"/>
    <w:rsid w:val="00696A3A"/>
    <w:rsid w:val="006975B8"/>
    <w:rsid w:val="006A2169"/>
    <w:rsid w:val="006A4A07"/>
    <w:rsid w:val="006C0929"/>
    <w:rsid w:val="006C1F3F"/>
    <w:rsid w:val="006C4266"/>
    <w:rsid w:val="006C6496"/>
    <w:rsid w:val="006D3598"/>
    <w:rsid w:val="006D6542"/>
    <w:rsid w:val="006E068B"/>
    <w:rsid w:val="006E36E5"/>
    <w:rsid w:val="006E3A8D"/>
    <w:rsid w:val="006E60F2"/>
    <w:rsid w:val="006E6F1C"/>
    <w:rsid w:val="006F2084"/>
    <w:rsid w:val="006F7A6F"/>
    <w:rsid w:val="006F7F12"/>
    <w:rsid w:val="0070161B"/>
    <w:rsid w:val="00702643"/>
    <w:rsid w:val="007036BC"/>
    <w:rsid w:val="00706504"/>
    <w:rsid w:val="007070EB"/>
    <w:rsid w:val="007113F6"/>
    <w:rsid w:val="00714278"/>
    <w:rsid w:val="00716595"/>
    <w:rsid w:val="00716DA7"/>
    <w:rsid w:val="00720DBF"/>
    <w:rsid w:val="00721681"/>
    <w:rsid w:val="0072195D"/>
    <w:rsid w:val="00722A9F"/>
    <w:rsid w:val="00735C95"/>
    <w:rsid w:val="007360EA"/>
    <w:rsid w:val="0073732B"/>
    <w:rsid w:val="00737687"/>
    <w:rsid w:val="007432E2"/>
    <w:rsid w:val="00745A43"/>
    <w:rsid w:val="00745E41"/>
    <w:rsid w:val="00746DFF"/>
    <w:rsid w:val="0075028E"/>
    <w:rsid w:val="0075037B"/>
    <w:rsid w:val="007550CD"/>
    <w:rsid w:val="00761AB7"/>
    <w:rsid w:val="00762A2F"/>
    <w:rsid w:val="0076313B"/>
    <w:rsid w:val="00765810"/>
    <w:rsid w:val="007759DC"/>
    <w:rsid w:val="00775A58"/>
    <w:rsid w:val="0078383A"/>
    <w:rsid w:val="00783D34"/>
    <w:rsid w:val="00790E71"/>
    <w:rsid w:val="0079214A"/>
    <w:rsid w:val="00792FDC"/>
    <w:rsid w:val="00793785"/>
    <w:rsid w:val="00793A00"/>
    <w:rsid w:val="007A1644"/>
    <w:rsid w:val="007A32D4"/>
    <w:rsid w:val="007A3A07"/>
    <w:rsid w:val="007B4DEF"/>
    <w:rsid w:val="007C4929"/>
    <w:rsid w:val="007C4C41"/>
    <w:rsid w:val="007C76D3"/>
    <w:rsid w:val="007D0D3E"/>
    <w:rsid w:val="007D2A0A"/>
    <w:rsid w:val="007D5571"/>
    <w:rsid w:val="007D615D"/>
    <w:rsid w:val="007D64FE"/>
    <w:rsid w:val="007D6B21"/>
    <w:rsid w:val="007E3D3C"/>
    <w:rsid w:val="007E7360"/>
    <w:rsid w:val="007F24F0"/>
    <w:rsid w:val="007F7C35"/>
    <w:rsid w:val="00807237"/>
    <w:rsid w:val="0082438A"/>
    <w:rsid w:val="008269BB"/>
    <w:rsid w:val="0083062B"/>
    <w:rsid w:val="0083154E"/>
    <w:rsid w:val="00832D04"/>
    <w:rsid w:val="00832DC5"/>
    <w:rsid w:val="00844E24"/>
    <w:rsid w:val="00846108"/>
    <w:rsid w:val="00846321"/>
    <w:rsid w:val="008528DD"/>
    <w:rsid w:val="00854E1D"/>
    <w:rsid w:val="00856ECF"/>
    <w:rsid w:val="00857AC3"/>
    <w:rsid w:val="0086264A"/>
    <w:rsid w:val="00862B44"/>
    <w:rsid w:val="00862B98"/>
    <w:rsid w:val="00863866"/>
    <w:rsid w:val="008647BD"/>
    <w:rsid w:val="00864A56"/>
    <w:rsid w:val="0086544F"/>
    <w:rsid w:val="00867DBB"/>
    <w:rsid w:val="008711BE"/>
    <w:rsid w:val="008768CF"/>
    <w:rsid w:val="008860F6"/>
    <w:rsid w:val="00893591"/>
    <w:rsid w:val="00893F6E"/>
    <w:rsid w:val="00895876"/>
    <w:rsid w:val="00897341"/>
    <w:rsid w:val="008A0507"/>
    <w:rsid w:val="008A1519"/>
    <w:rsid w:val="008A4420"/>
    <w:rsid w:val="008A4BD9"/>
    <w:rsid w:val="008A5CFE"/>
    <w:rsid w:val="008A5D59"/>
    <w:rsid w:val="008B4961"/>
    <w:rsid w:val="008C0353"/>
    <w:rsid w:val="008C0B43"/>
    <w:rsid w:val="008C13D1"/>
    <w:rsid w:val="008C1589"/>
    <w:rsid w:val="008C1F3F"/>
    <w:rsid w:val="008C27AE"/>
    <w:rsid w:val="008C3741"/>
    <w:rsid w:val="008C3AC9"/>
    <w:rsid w:val="008C5333"/>
    <w:rsid w:val="008C556E"/>
    <w:rsid w:val="008C6092"/>
    <w:rsid w:val="008C7BB8"/>
    <w:rsid w:val="00901335"/>
    <w:rsid w:val="00903833"/>
    <w:rsid w:val="00905590"/>
    <w:rsid w:val="00905635"/>
    <w:rsid w:val="0090612A"/>
    <w:rsid w:val="00907976"/>
    <w:rsid w:val="00911A5E"/>
    <w:rsid w:val="00916267"/>
    <w:rsid w:val="00920117"/>
    <w:rsid w:val="00922A4D"/>
    <w:rsid w:val="00932322"/>
    <w:rsid w:val="009370F3"/>
    <w:rsid w:val="00940E1E"/>
    <w:rsid w:val="009436FA"/>
    <w:rsid w:val="0094661C"/>
    <w:rsid w:val="00950432"/>
    <w:rsid w:val="009534F1"/>
    <w:rsid w:val="009633E2"/>
    <w:rsid w:val="00965041"/>
    <w:rsid w:val="00971470"/>
    <w:rsid w:val="00971663"/>
    <w:rsid w:val="00973493"/>
    <w:rsid w:val="009752D5"/>
    <w:rsid w:val="00976592"/>
    <w:rsid w:val="00983818"/>
    <w:rsid w:val="0098455F"/>
    <w:rsid w:val="009856C1"/>
    <w:rsid w:val="0098669A"/>
    <w:rsid w:val="00994E4C"/>
    <w:rsid w:val="009957BF"/>
    <w:rsid w:val="009A2625"/>
    <w:rsid w:val="009A5E4D"/>
    <w:rsid w:val="009B2DA2"/>
    <w:rsid w:val="009B4136"/>
    <w:rsid w:val="009B415A"/>
    <w:rsid w:val="009C03DD"/>
    <w:rsid w:val="009C2DFD"/>
    <w:rsid w:val="009C3444"/>
    <w:rsid w:val="009C701B"/>
    <w:rsid w:val="009D2029"/>
    <w:rsid w:val="009D3830"/>
    <w:rsid w:val="009E09BF"/>
    <w:rsid w:val="009E1A7C"/>
    <w:rsid w:val="009E2BFF"/>
    <w:rsid w:val="009E45D3"/>
    <w:rsid w:val="009F4BA7"/>
    <w:rsid w:val="00A02F68"/>
    <w:rsid w:val="00A03EF8"/>
    <w:rsid w:val="00A0516C"/>
    <w:rsid w:val="00A07CE2"/>
    <w:rsid w:val="00A110A5"/>
    <w:rsid w:val="00A1198D"/>
    <w:rsid w:val="00A152EE"/>
    <w:rsid w:val="00A160D6"/>
    <w:rsid w:val="00A22291"/>
    <w:rsid w:val="00A22D65"/>
    <w:rsid w:val="00A23526"/>
    <w:rsid w:val="00A311BF"/>
    <w:rsid w:val="00A334B8"/>
    <w:rsid w:val="00A339B5"/>
    <w:rsid w:val="00A410DE"/>
    <w:rsid w:val="00A41A03"/>
    <w:rsid w:val="00A53BA6"/>
    <w:rsid w:val="00A53E74"/>
    <w:rsid w:val="00A53F7D"/>
    <w:rsid w:val="00A55819"/>
    <w:rsid w:val="00A56375"/>
    <w:rsid w:val="00A5647D"/>
    <w:rsid w:val="00A56D43"/>
    <w:rsid w:val="00A56FF9"/>
    <w:rsid w:val="00A61ED4"/>
    <w:rsid w:val="00A6697C"/>
    <w:rsid w:val="00A71877"/>
    <w:rsid w:val="00A73F97"/>
    <w:rsid w:val="00A75923"/>
    <w:rsid w:val="00A774B9"/>
    <w:rsid w:val="00A82FBB"/>
    <w:rsid w:val="00A847AF"/>
    <w:rsid w:val="00A912F2"/>
    <w:rsid w:val="00A93F64"/>
    <w:rsid w:val="00A95127"/>
    <w:rsid w:val="00AA04B8"/>
    <w:rsid w:val="00AA50C3"/>
    <w:rsid w:val="00AB21F6"/>
    <w:rsid w:val="00AB3AB8"/>
    <w:rsid w:val="00AC0959"/>
    <w:rsid w:val="00AC1F77"/>
    <w:rsid w:val="00AC227B"/>
    <w:rsid w:val="00AD37B1"/>
    <w:rsid w:val="00AD5DC8"/>
    <w:rsid w:val="00AE00A5"/>
    <w:rsid w:val="00AE178B"/>
    <w:rsid w:val="00AE3C5E"/>
    <w:rsid w:val="00AE3F85"/>
    <w:rsid w:val="00AE52CD"/>
    <w:rsid w:val="00AF3894"/>
    <w:rsid w:val="00AF5C6B"/>
    <w:rsid w:val="00B00D12"/>
    <w:rsid w:val="00B0383A"/>
    <w:rsid w:val="00B03BA0"/>
    <w:rsid w:val="00B04FD0"/>
    <w:rsid w:val="00B058E8"/>
    <w:rsid w:val="00B11A40"/>
    <w:rsid w:val="00B15D3D"/>
    <w:rsid w:val="00B15DCA"/>
    <w:rsid w:val="00B16F97"/>
    <w:rsid w:val="00B36E5D"/>
    <w:rsid w:val="00B416FE"/>
    <w:rsid w:val="00B42EB6"/>
    <w:rsid w:val="00B431FD"/>
    <w:rsid w:val="00B438A4"/>
    <w:rsid w:val="00B439C8"/>
    <w:rsid w:val="00B5470F"/>
    <w:rsid w:val="00B566A8"/>
    <w:rsid w:val="00B6238A"/>
    <w:rsid w:val="00B658AC"/>
    <w:rsid w:val="00B70C82"/>
    <w:rsid w:val="00B778AD"/>
    <w:rsid w:val="00B779EE"/>
    <w:rsid w:val="00B8330C"/>
    <w:rsid w:val="00B84DD2"/>
    <w:rsid w:val="00B8571C"/>
    <w:rsid w:val="00B94DAD"/>
    <w:rsid w:val="00B95BA9"/>
    <w:rsid w:val="00B9629C"/>
    <w:rsid w:val="00BA147B"/>
    <w:rsid w:val="00BA2CDA"/>
    <w:rsid w:val="00BA68EA"/>
    <w:rsid w:val="00BB0500"/>
    <w:rsid w:val="00BB08E0"/>
    <w:rsid w:val="00BB2242"/>
    <w:rsid w:val="00BB440B"/>
    <w:rsid w:val="00BC6D91"/>
    <w:rsid w:val="00BC7238"/>
    <w:rsid w:val="00BD04BF"/>
    <w:rsid w:val="00BD416E"/>
    <w:rsid w:val="00BD436B"/>
    <w:rsid w:val="00BD4F96"/>
    <w:rsid w:val="00BE015E"/>
    <w:rsid w:val="00BE09E4"/>
    <w:rsid w:val="00BE0A08"/>
    <w:rsid w:val="00BE3EA9"/>
    <w:rsid w:val="00BE459A"/>
    <w:rsid w:val="00BE5A92"/>
    <w:rsid w:val="00BE5DD6"/>
    <w:rsid w:val="00BE7A0B"/>
    <w:rsid w:val="00BF794F"/>
    <w:rsid w:val="00BF79A2"/>
    <w:rsid w:val="00C01529"/>
    <w:rsid w:val="00C0378F"/>
    <w:rsid w:val="00C05BD3"/>
    <w:rsid w:val="00C13E1A"/>
    <w:rsid w:val="00C202B8"/>
    <w:rsid w:val="00C20FFD"/>
    <w:rsid w:val="00C21944"/>
    <w:rsid w:val="00C21BAE"/>
    <w:rsid w:val="00C25AD0"/>
    <w:rsid w:val="00C25C36"/>
    <w:rsid w:val="00C42785"/>
    <w:rsid w:val="00C503B2"/>
    <w:rsid w:val="00C6704E"/>
    <w:rsid w:val="00C67F65"/>
    <w:rsid w:val="00C7341E"/>
    <w:rsid w:val="00C77EBC"/>
    <w:rsid w:val="00C827AB"/>
    <w:rsid w:val="00C850C4"/>
    <w:rsid w:val="00C85EC7"/>
    <w:rsid w:val="00C87BBA"/>
    <w:rsid w:val="00C90248"/>
    <w:rsid w:val="00C9124A"/>
    <w:rsid w:val="00C9270E"/>
    <w:rsid w:val="00CA3B87"/>
    <w:rsid w:val="00CA6217"/>
    <w:rsid w:val="00CA6FC4"/>
    <w:rsid w:val="00CA7164"/>
    <w:rsid w:val="00CA7468"/>
    <w:rsid w:val="00CB0BA8"/>
    <w:rsid w:val="00CB5EAD"/>
    <w:rsid w:val="00CB6E5E"/>
    <w:rsid w:val="00CB7DB5"/>
    <w:rsid w:val="00CC1BC6"/>
    <w:rsid w:val="00CD4BD1"/>
    <w:rsid w:val="00CD52F2"/>
    <w:rsid w:val="00CD72DC"/>
    <w:rsid w:val="00CD76C0"/>
    <w:rsid w:val="00CE3EE2"/>
    <w:rsid w:val="00CE7A87"/>
    <w:rsid w:val="00CF06BD"/>
    <w:rsid w:val="00CF4F3D"/>
    <w:rsid w:val="00CF7056"/>
    <w:rsid w:val="00CF72AD"/>
    <w:rsid w:val="00D004CB"/>
    <w:rsid w:val="00D059C2"/>
    <w:rsid w:val="00D103B3"/>
    <w:rsid w:val="00D120E1"/>
    <w:rsid w:val="00D12F98"/>
    <w:rsid w:val="00D178EF"/>
    <w:rsid w:val="00D21B72"/>
    <w:rsid w:val="00D222E9"/>
    <w:rsid w:val="00D23123"/>
    <w:rsid w:val="00D24E65"/>
    <w:rsid w:val="00D31EFB"/>
    <w:rsid w:val="00D36583"/>
    <w:rsid w:val="00D37121"/>
    <w:rsid w:val="00D42259"/>
    <w:rsid w:val="00D57ECF"/>
    <w:rsid w:val="00D6469B"/>
    <w:rsid w:val="00D64B96"/>
    <w:rsid w:val="00D732D9"/>
    <w:rsid w:val="00D73E25"/>
    <w:rsid w:val="00D836AD"/>
    <w:rsid w:val="00D8434B"/>
    <w:rsid w:val="00D84DC3"/>
    <w:rsid w:val="00D85231"/>
    <w:rsid w:val="00D90D9A"/>
    <w:rsid w:val="00D9179B"/>
    <w:rsid w:val="00D937AE"/>
    <w:rsid w:val="00D9592A"/>
    <w:rsid w:val="00DA0D6B"/>
    <w:rsid w:val="00DA2583"/>
    <w:rsid w:val="00DA4533"/>
    <w:rsid w:val="00DB1695"/>
    <w:rsid w:val="00DC041C"/>
    <w:rsid w:val="00DC3386"/>
    <w:rsid w:val="00DC3970"/>
    <w:rsid w:val="00DC43DD"/>
    <w:rsid w:val="00DC5C61"/>
    <w:rsid w:val="00DD21BE"/>
    <w:rsid w:val="00DD440A"/>
    <w:rsid w:val="00DD4B38"/>
    <w:rsid w:val="00DD6DC0"/>
    <w:rsid w:val="00DE4213"/>
    <w:rsid w:val="00DE5018"/>
    <w:rsid w:val="00DF0EF6"/>
    <w:rsid w:val="00DF17D2"/>
    <w:rsid w:val="00DF2CD2"/>
    <w:rsid w:val="00DF735D"/>
    <w:rsid w:val="00E000A2"/>
    <w:rsid w:val="00E16A28"/>
    <w:rsid w:val="00E17C72"/>
    <w:rsid w:val="00E25520"/>
    <w:rsid w:val="00E271DA"/>
    <w:rsid w:val="00E30C3B"/>
    <w:rsid w:val="00E31001"/>
    <w:rsid w:val="00E33169"/>
    <w:rsid w:val="00E45E04"/>
    <w:rsid w:val="00E46039"/>
    <w:rsid w:val="00E46122"/>
    <w:rsid w:val="00E53696"/>
    <w:rsid w:val="00E614E2"/>
    <w:rsid w:val="00E64030"/>
    <w:rsid w:val="00E70604"/>
    <w:rsid w:val="00E76685"/>
    <w:rsid w:val="00E802B0"/>
    <w:rsid w:val="00E8750D"/>
    <w:rsid w:val="00E92EB2"/>
    <w:rsid w:val="00EA112D"/>
    <w:rsid w:val="00EA638B"/>
    <w:rsid w:val="00EB1DD7"/>
    <w:rsid w:val="00EB63E4"/>
    <w:rsid w:val="00EB7A7F"/>
    <w:rsid w:val="00ED5269"/>
    <w:rsid w:val="00ED5D15"/>
    <w:rsid w:val="00ED73FD"/>
    <w:rsid w:val="00EE76AD"/>
    <w:rsid w:val="00EF31DC"/>
    <w:rsid w:val="00EF4BB0"/>
    <w:rsid w:val="00F01AA6"/>
    <w:rsid w:val="00F01FEC"/>
    <w:rsid w:val="00F023A3"/>
    <w:rsid w:val="00F05AED"/>
    <w:rsid w:val="00F05FF9"/>
    <w:rsid w:val="00F13803"/>
    <w:rsid w:val="00F17533"/>
    <w:rsid w:val="00F229B7"/>
    <w:rsid w:val="00F254C3"/>
    <w:rsid w:val="00F31083"/>
    <w:rsid w:val="00F35DD4"/>
    <w:rsid w:val="00F41370"/>
    <w:rsid w:val="00F423B0"/>
    <w:rsid w:val="00F547CA"/>
    <w:rsid w:val="00F5581D"/>
    <w:rsid w:val="00F67C59"/>
    <w:rsid w:val="00F73150"/>
    <w:rsid w:val="00F8215A"/>
    <w:rsid w:val="00F8271C"/>
    <w:rsid w:val="00F84D2B"/>
    <w:rsid w:val="00F8786F"/>
    <w:rsid w:val="00F87D24"/>
    <w:rsid w:val="00FA0DCD"/>
    <w:rsid w:val="00FA219B"/>
    <w:rsid w:val="00FA4768"/>
    <w:rsid w:val="00FA5E83"/>
    <w:rsid w:val="00FB1051"/>
    <w:rsid w:val="00FB2A81"/>
    <w:rsid w:val="00FB566E"/>
    <w:rsid w:val="00FC7C30"/>
    <w:rsid w:val="00FD213C"/>
    <w:rsid w:val="00FD52D6"/>
    <w:rsid w:val="00FD5E27"/>
    <w:rsid w:val="00FE6FE3"/>
    <w:rsid w:val="00FF7216"/>
  </w:rsids>
  <m:mathPr>
    <m:mathFont m:val="Cambria Math"/>
    <m:brkBin m:val="before"/>
    <m:brkBinSub m:val="--"/>
    <m:smallFrac m:val="0"/>
    <m:dispDef m:val="0"/>
    <m:lMargin m:val="0"/>
    <m:rMargin m:val="0"/>
    <m:defJc m:val="centerGroup"/>
    <m:wrapRight/>
    <m:intLim m:val="subSup"/>
    <m:naryLim m:val="subSup"/>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D38A0A"/>
  <w15:docId w15:val="{57CD0000-8EAA-4B43-8DE0-E8E383DD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iPriority="9" w:unhideWhenUsed="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117"/>
    <w:pPr>
      <w:spacing w:before="120" w:after="120"/>
    </w:pPr>
    <w:rPr>
      <w:rFonts w:asciiTheme="minorHAnsi" w:eastAsia="Times New Roman" w:hAnsiTheme="minorHAnsi"/>
      <w:spacing w:val="-2"/>
      <w:szCs w:val="24"/>
    </w:rPr>
  </w:style>
  <w:style w:type="paragraph" w:styleId="Heading1">
    <w:name w:val="heading 1"/>
    <w:basedOn w:val="Normal"/>
    <w:next w:val="Normal"/>
    <w:link w:val="Heading1Char"/>
    <w:uiPriority w:val="1"/>
    <w:qFormat/>
    <w:rsid w:val="00867DBB"/>
    <w:pPr>
      <w:keepNext/>
      <w:keepLines/>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1"/>
    <w:qFormat/>
    <w:rsid w:val="00862B98"/>
    <w:pPr>
      <w:keepNext/>
      <w:keepLines/>
      <w:contextualSpacing/>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1"/>
    <w:qFormat/>
    <w:rsid w:val="0075028E"/>
    <w:pPr>
      <w:keepNext/>
      <w:keepLines/>
      <w:contextualSpacing/>
      <w:outlineLvl w:val="2"/>
    </w:pPr>
    <w:rPr>
      <w:rFonts w:asciiTheme="majorHAnsi" w:eastAsiaTheme="majorEastAsia" w:hAnsiTheme="majorHAnsi" w:cstheme="majorBidi"/>
      <w:b/>
      <w:bCs/>
      <w:sz w:val="18"/>
    </w:rPr>
  </w:style>
  <w:style w:type="paragraph" w:styleId="Heading4">
    <w:name w:val="heading 4"/>
    <w:basedOn w:val="Normal"/>
    <w:next w:val="Normal"/>
    <w:link w:val="Heading4Char"/>
    <w:semiHidden/>
    <w:rsid w:val="00A07CE2"/>
    <w:pPr>
      <w:keepNext/>
      <w:keepLines/>
      <w:contextualSpacing/>
      <w:outlineLvl w:val="3"/>
    </w:pPr>
    <w:rPr>
      <w:rFonts w:asciiTheme="majorHAnsi" w:eastAsiaTheme="majorEastAsia" w:hAnsiTheme="majorHAnsi" w:cstheme="majorBidi"/>
      <w:b/>
      <w:bCs/>
      <w:iCs/>
      <w:color w:val="4D90C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uiPriority w:val="99"/>
    <w:rsid w:val="002930C5"/>
    <w:pPr>
      <w:spacing w:before="0" w:after="360"/>
    </w:pPr>
    <w:rPr>
      <w:noProof/>
      <w:sz w:val="24"/>
      <w:szCs w:val="28"/>
      <w:lang w:eastAsia="en-AU"/>
    </w:rPr>
  </w:style>
  <w:style w:type="paragraph" w:styleId="Header">
    <w:name w:val="header"/>
    <w:basedOn w:val="Normal"/>
    <w:rsid w:val="00587074"/>
    <w:pPr>
      <w:tabs>
        <w:tab w:val="center" w:pos="4153"/>
        <w:tab w:val="right" w:pos="8306"/>
      </w:tabs>
      <w:spacing w:before="0" w:after="0"/>
    </w:pPr>
  </w:style>
  <w:style w:type="paragraph" w:styleId="Footer">
    <w:name w:val="footer"/>
    <w:basedOn w:val="Normal"/>
    <w:link w:val="FooterChar"/>
    <w:rsid w:val="00183019"/>
    <w:pPr>
      <w:tabs>
        <w:tab w:val="center" w:pos="4153"/>
        <w:tab w:val="right" w:pos="8306"/>
      </w:tabs>
      <w:spacing w:before="0" w:after="0"/>
      <w:jc w:val="right"/>
    </w:pPr>
    <w:rPr>
      <w:sz w:val="14"/>
    </w:rPr>
  </w:style>
  <w:style w:type="paragraph" w:customStyle="1" w:styleId="Source">
    <w:name w:val="Source"/>
    <w:basedOn w:val="Normal"/>
    <w:next w:val="Normal"/>
    <w:uiPriority w:val="99"/>
    <w:qFormat/>
    <w:rsid w:val="0075028E"/>
    <w:pPr>
      <w:spacing w:before="40" w:after="40"/>
      <w:ind w:left="142" w:hanging="142"/>
    </w:pPr>
    <w:rPr>
      <w:rFonts w:cstheme="minorHAnsi"/>
      <w:sz w:val="14"/>
      <w:szCs w:val="14"/>
    </w:rPr>
  </w:style>
  <w:style w:type="table" w:styleId="MediumShading1-Accent1">
    <w:name w:val="Medium Shading 1 Accent 1"/>
    <w:aliases w:val="Default table design"/>
    <w:basedOn w:val="TableNormal"/>
    <w:uiPriority w:val="63"/>
    <w:rsid w:val="00DA4533"/>
    <w:rPr>
      <w:rFonts w:asciiTheme="minorHAnsi" w:hAnsiTheme="minorHAnsi"/>
      <w:sz w:val="18"/>
    </w:rPr>
    <w:tblPr>
      <w:tblStyleRowBandSize w:val="1"/>
      <w:tblStyleColBandSize w:val="1"/>
      <w:tblInd w:w="85" w:type="dxa"/>
      <w:tblBorders>
        <w:top w:val="single" w:sz="4" w:space="0" w:color="ECECEC"/>
        <w:bottom w:val="single" w:sz="4" w:space="0" w:color="ECECEC"/>
        <w:insideH w:val="single" w:sz="4" w:space="0" w:color="ECECEC"/>
      </w:tblBorders>
      <w:tblCellMar>
        <w:top w:w="28" w:type="dxa"/>
        <w:left w:w="85" w:type="dxa"/>
        <w:bottom w:w="28" w:type="dxa"/>
        <w:right w:w="85" w:type="dxa"/>
      </w:tblCellMar>
    </w:tblPr>
    <w:tblStylePr w:type="firstRow">
      <w:pPr>
        <w:spacing w:before="0" w:after="0" w:line="240" w:lineRule="auto"/>
      </w:pPr>
      <w:rPr>
        <w:b/>
        <w:bCs/>
        <w:color w:val="000000" w:themeColor="text1"/>
      </w:rPr>
      <w:tblPr/>
      <w:tcPr>
        <w:shd w:val="clear" w:color="auto" w:fill="ECECEC"/>
      </w:tcPr>
    </w:tblStylePr>
    <w:tblStylePr w:type="lastRow">
      <w:pPr>
        <w:spacing w:before="0" w:after="0" w:line="240" w:lineRule="auto"/>
      </w:pPr>
      <w:rPr>
        <w:b/>
        <w:bCs/>
      </w:rPr>
      <w:tblPr/>
      <w:tcPr>
        <w:shd w:val="clear" w:color="auto" w:fill="F2F2F2" w:themeFill="background1" w:themeFillShade="F2"/>
      </w:tcPr>
    </w:tblStylePr>
    <w:tblStylePr w:type="firstCol">
      <w:rPr>
        <w:b/>
        <w:bCs/>
      </w:rPr>
      <w:tblPr/>
      <w:tcPr>
        <w:shd w:val="clear" w:color="auto" w:fill="ECECEC"/>
      </w:tcPr>
    </w:tblStylePr>
    <w:tblStylePr w:type="lastCol">
      <w:rPr>
        <w:b/>
        <w:bCs/>
      </w:rPr>
    </w:tblStylePr>
    <w:tblStylePr w:type="band2Horz">
      <w:tblPr/>
      <w:tcPr>
        <w:shd w:val="clear" w:color="auto" w:fill="ECECEC"/>
      </w:tcPr>
    </w:tblStylePr>
  </w:style>
  <w:style w:type="character" w:styleId="Hyperlink">
    <w:name w:val="Hyperlink"/>
    <w:uiPriority w:val="99"/>
    <w:rsid w:val="00857AC3"/>
    <w:rPr>
      <w:b/>
      <w:color w:val="1B396A" w:themeColor="accent1"/>
      <w:u w:val="none"/>
    </w:rPr>
  </w:style>
  <w:style w:type="paragraph" w:styleId="Date">
    <w:name w:val="Date"/>
    <w:basedOn w:val="Normal"/>
    <w:next w:val="Normal"/>
    <w:link w:val="DateChar"/>
    <w:uiPriority w:val="2"/>
    <w:rsid w:val="00783D34"/>
    <w:pPr>
      <w:spacing w:before="0" w:after="0"/>
      <w:jc w:val="right"/>
    </w:pPr>
    <w:rPr>
      <w:b/>
      <w:color w:val="1B396A" w:themeColor="accent1"/>
      <w:sz w:val="24"/>
    </w:rPr>
  </w:style>
  <w:style w:type="paragraph" w:styleId="TOC1">
    <w:name w:val="toc 1"/>
    <w:basedOn w:val="Normal"/>
    <w:next w:val="Normal"/>
    <w:semiHidden/>
    <w:rsid w:val="000971C7"/>
    <w:pPr>
      <w:spacing w:before="240"/>
    </w:pPr>
    <w:rPr>
      <w:b/>
      <w:bCs/>
      <w:szCs w:val="20"/>
    </w:rPr>
  </w:style>
  <w:style w:type="character" w:customStyle="1" w:styleId="DateChar">
    <w:name w:val="Date Char"/>
    <w:basedOn w:val="DefaultParagraphFont"/>
    <w:link w:val="Date"/>
    <w:uiPriority w:val="2"/>
    <w:rsid w:val="00F35DD4"/>
    <w:rPr>
      <w:rFonts w:asciiTheme="minorHAnsi" w:eastAsia="Times New Roman" w:hAnsiTheme="minorHAnsi"/>
      <w:b/>
      <w:color w:val="1B396A" w:themeColor="accent1"/>
      <w:sz w:val="24"/>
      <w:szCs w:val="24"/>
    </w:rPr>
  </w:style>
  <w:style w:type="paragraph" w:customStyle="1" w:styleId="TableText">
    <w:name w:val="Table Text"/>
    <w:basedOn w:val="Normal"/>
    <w:uiPriority w:val="2"/>
    <w:qFormat/>
    <w:rsid w:val="00783D34"/>
    <w:pPr>
      <w:spacing w:before="0" w:after="0"/>
    </w:pPr>
    <w:rPr>
      <w:sz w:val="18"/>
      <w:szCs w:val="18"/>
    </w:rPr>
  </w:style>
  <w:style w:type="paragraph" w:styleId="TOCHeading">
    <w:name w:val="TOC Heading"/>
    <w:basedOn w:val="Normal"/>
    <w:semiHidden/>
    <w:rsid w:val="000971C7"/>
    <w:pPr>
      <w:tabs>
        <w:tab w:val="right" w:pos="9378"/>
      </w:tabs>
      <w:spacing w:after="240"/>
    </w:pPr>
    <w:rPr>
      <w:b/>
      <w:color w:val="4D90CD"/>
      <w:sz w:val="28"/>
      <w:szCs w:val="28"/>
    </w:rPr>
  </w:style>
  <w:style w:type="paragraph" w:customStyle="1" w:styleId="Disclaimer">
    <w:name w:val="Disclaimer"/>
    <w:basedOn w:val="Normal"/>
    <w:uiPriority w:val="99"/>
    <w:rsid w:val="00414F87"/>
    <w:pPr>
      <w:spacing w:before="0" w:after="60"/>
    </w:pPr>
    <w:rPr>
      <w:spacing w:val="-4"/>
      <w:sz w:val="14"/>
      <w:szCs w:val="14"/>
      <w:lang w:eastAsia="en-AU"/>
    </w:rPr>
  </w:style>
  <w:style w:type="paragraph" w:customStyle="1" w:styleId="Signoff">
    <w:name w:val="Sign off"/>
    <w:basedOn w:val="Normal"/>
    <w:uiPriority w:val="99"/>
    <w:rsid w:val="00B16F97"/>
    <w:pPr>
      <w:spacing w:before="0" w:after="0"/>
    </w:pPr>
    <w:rPr>
      <w:sz w:val="22"/>
      <w:szCs w:val="22"/>
      <w:lang w:eastAsia="en-AU"/>
    </w:rPr>
  </w:style>
  <w:style w:type="character" w:styleId="PageNumber">
    <w:name w:val="page number"/>
    <w:basedOn w:val="DefaultParagraphFont"/>
    <w:semiHidden/>
    <w:rsid w:val="000971C7"/>
  </w:style>
  <w:style w:type="paragraph" w:styleId="TOC2">
    <w:name w:val="toc 2"/>
    <w:basedOn w:val="Normal"/>
    <w:next w:val="Normal"/>
    <w:autoRedefine/>
    <w:semiHidden/>
    <w:rsid w:val="000971C7"/>
    <w:pPr>
      <w:ind w:left="200"/>
    </w:pPr>
  </w:style>
  <w:style w:type="paragraph" w:styleId="BalloonText">
    <w:name w:val="Balloon Text"/>
    <w:basedOn w:val="Normal"/>
    <w:link w:val="BalloonTextChar"/>
    <w:semiHidden/>
    <w:rsid w:val="00897341"/>
    <w:rPr>
      <w:rFonts w:ascii="Tahoma" w:hAnsi="Tahoma" w:cs="Tahoma"/>
      <w:sz w:val="16"/>
      <w:szCs w:val="16"/>
    </w:rPr>
  </w:style>
  <w:style w:type="character" w:customStyle="1" w:styleId="BalloonTextChar">
    <w:name w:val="Balloon Text Char"/>
    <w:basedOn w:val="DefaultParagraphFont"/>
    <w:link w:val="BalloonText"/>
    <w:semiHidden/>
    <w:rsid w:val="00446B18"/>
    <w:rPr>
      <w:rFonts w:ascii="Tahoma" w:eastAsia="Times New Roman" w:hAnsi="Tahoma" w:cs="Tahoma"/>
      <w:sz w:val="16"/>
      <w:szCs w:val="16"/>
    </w:rPr>
  </w:style>
  <w:style w:type="table" w:styleId="TableGrid">
    <w:name w:val="Table Grid"/>
    <w:basedOn w:val="TableNormal"/>
    <w:rsid w:val="006E6F1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672227"/>
    <w:pPr>
      <w:ind w:left="720"/>
    </w:pPr>
    <w:rPr>
      <w:szCs w:val="20"/>
      <w:lang w:eastAsia="en-AU"/>
    </w:rPr>
  </w:style>
  <w:style w:type="character" w:styleId="CommentReference">
    <w:name w:val="annotation reference"/>
    <w:basedOn w:val="DefaultParagraphFont"/>
    <w:uiPriority w:val="99"/>
    <w:rsid w:val="00862B44"/>
    <w:rPr>
      <w:sz w:val="16"/>
      <w:szCs w:val="16"/>
    </w:rPr>
  </w:style>
  <w:style w:type="paragraph" w:styleId="CommentText">
    <w:name w:val="annotation text"/>
    <w:basedOn w:val="Normal"/>
    <w:link w:val="CommentTextChar"/>
    <w:semiHidden/>
    <w:rsid w:val="00862B44"/>
    <w:rPr>
      <w:szCs w:val="20"/>
    </w:rPr>
  </w:style>
  <w:style w:type="character" w:customStyle="1" w:styleId="CommentTextChar">
    <w:name w:val="Comment Text Char"/>
    <w:basedOn w:val="DefaultParagraphFont"/>
    <w:link w:val="CommentText"/>
    <w:semiHidden/>
    <w:rsid w:val="00446B18"/>
    <w:rPr>
      <w:rFonts w:asciiTheme="minorHAnsi" w:eastAsia="Times New Roman" w:hAnsiTheme="minorHAnsi"/>
    </w:rPr>
  </w:style>
  <w:style w:type="paragraph" w:styleId="CommentSubject">
    <w:name w:val="annotation subject"/>
    <w:basedOn w:val="CommentText"/>
    <w:next w:val="CommentText"/>
    <w:link w:val="CommentSubjectChar"/>
    <w:semiHidden/>
    <w:rsid w:val="00862B44"/>
    <w:rPr>
      <w:b/>
      <w:bCs/>
    </w:rPr>
  </w:style>
  <w:style w:type="character" w:customStyle="1" w:styleId="CommentSubjectChar">
    <w:name w:val="Comment Subject Char"/>
    <w:basedOn w:val="CommentTextChar"/>
    <w:link w:val="CommentSubject"/>
    <w:semiHidden/>
    <w:rsid w:val="00446B18"/>
    <w:rPr>
      <w:rFonts w:asciiTheme="minorHAnsi" w:eastAsia="Times New Roman" w:hAnsiTheme="minorHAnsi"/>
      <w:b/>
      <w:bCs/>
    </w:rPr>
  </w:style>
  <w:style w:type="character" w:styleId="FollowedHyperlink">
    <w:name w:val="FollowedHyperlink"/>
    <w:basedOn w:val="DefaultParagraphFont"/>
    <w:semiHidden/>
    <w:rsid w:val="00CD52F2"/>
    <w:rPr>
      <w:color w:val="000000" w:themeColor="followedHyperlink"/>
      <w:u w:val="single"/>
    </w:rPr>
  </w:style>
  <w:style w:type="paragraph" w:styleId="Revision">
    <w:name w:val="Revision"/>
    <w:hidden/>
    <w:uiPriority w:val="99"/>
    <w:semiHidden/>
    <w:rsid w:val="00682ACD"/>
    <w:rPr>
      <w:rFonts w:ascii="Verdana" w:eastAsia="Times New Roman" w:hAnsi="Verdana"/>
      <w:szCs w:val="24"/>
    </w:rPr>
  </w:style>
  <w:style w:type="paragraph" w:customStyle="1" w:styleId="Default">
    <w:name w:val="Default"/>
    <w:semiHidden/>
    <w:rsid w:val="00AB3AB8"/>
    <w:pPr>
      <w:autoSpaceDE w:val="0"/>
      <w:autoSpaceDN w:val="0"/>
      <w:adjustRightInd w:val="0"/>
    </w:pPr>
    <w:rPr>
      <w:rFonts w:ascii="Arial" w:eastAsia="Arial" w:hAnsi="Arial" w:cs="Arial"/>
      <w:color w:val="000000"/>
      <w:sz w:val="24"/>
      <w:szCs w:val="24"/>
      <w:lang w:eastAsia="en-AU"/>
    </w:rPr>
  </w:style>
  <w:style w:type="character" w:customStyle="1" w:styleId="Heading2Char">
    <w:name w:val="Heading 2 Char"/>
    <w:basedOn w:val="DefaultParagraphFont"/>
    <w:link w:val="Heading2"/>
    <w:uiPriority w:val="1"/>
    <w:rsid w:val="00862B98"/>
    <w:rPr>
      <w:rFonts w:asciiTheme="majorHAnsi" w:eastAsiaTheme="majorEastAsia" w:hAnsiTheme="majorHAnsi" w:cstheme="majorBidi"/>
      <w:b/>
      <w:bCs/>
      <w:spacing w:val="-2"/>
      <w:szCs w:val="26"/>
    </w:rPr>
  </w:style>
  <w:style w:type="character" w:styleId="Strong">
    <w:name w:val="Strong"/>
    <w:basedOn w:val="DefaultParagraphFont"/>
    <w:uiPriority w:val="22"/>
    <w:semiHidden/>
    <w:rsid w:val="00175845"/>
    <w:rPr>
      <w:rFonts w:asciiTheme="minorHAnsi" w:hAnsiTheme="minorHAnsi"/>
      <w:b/>
      <w:bCs/>
    </w:rPr>
  </w:style>
  <w:style w:type="paragraph" w:styleId="FootnoteText">
    <w:name w:val="footnote text"/>
    <w:basedOn w:val="Normal"/>
    <w:link w:val="FootnoteTextChar"/>
    <w:uiPriority w:val="99"/>
    <w:unhideWhenUsed/>
    <w:rsid w:val="00A07CE2"/>
    <w:pPr>
      <w:spacing w:before="0" w:after="0"/>
    </w:pPr>
    <w:rPr>
      <w:rFonts w:eastAsia="Arial"/>
      <w:sz w:val="16"/>
      <w:szCs w:val="20"/>
    </w:rPr>
  </w:style>
  <w:style w:type="character" w:customStyle="1" w:styleId="FootnoteTextChar">
    <w:name w:val="Footnote Text Char"/>
    <w:basedOn w:val="DefaultParagraphFont"/>
    <w:link w:val="FootnoteText"/>
    <w:uiPriority w:val="99"/>
    <w:rsid w:val="00A07CE2"/>
    <w:rPr>
      <w:rFonts w:asciiTheme="minorHAnsi" w:eastAsia="Arial" w:hAnsiTheme="minorHAnsi"/>
      <w:sz w:val="16"/>
    </w:rPr>
  </w:style>
  <w:style w:type="character" w:styleId="FootnoteReference">
    <w:name w:val="footnote reference"/>
    <w:basedOn w:val="DefaultParagraphFont"/>
    <w:uiPriority w:val="99"/>
    <w:unhideWhenUsed/>
    <w:rsid w:val="00C21944"/>
    <w:rPr>
      <w:vertAlign w:val="superscript"/>
    </w:rPr>
  </w:style>
  <w:style w:type="character" w:customStyle="1" w:styleId="Heading4Char">
    <w:name w:val="Heading 4 Char"/>
    <w:basedOn w:val="DefaultParagraphFont"/>
    <w:link w:val="Heading4"/>
    <w:semiHidden/>
    <w:rsid w:val="00446B18"/>
    <w:rPr>
      <w:rFonts w:asciiTheme="majorHAnsi" w:eastAsiaTheme="majorEastAsia" w:hAnsiTheme="majorHAnsi" w:cstheme="majorBidi"/>
      <w:b/>
      <w:bCs/>
      <w:iCs/>
      <w:color w:val="4D90CD"/>
      <w:szCs w:val="22"/>
    </w:rPr>
  </w:style>
  <w:style w:type="character" w:customStyle="1" w:styleId="FooterChar">
    <w:name w:val="Footer Char"/>
    <w:basedOn w:val="DefaultParagraphFont"/>
    <w:link w:val="Footer"/>
    <w:rsid w:val="00183019"/>
    <w:rPr>
      <w:rFonts w:asciiTheme="minorHAnsi" w:eastAsia="Times New Roman" w:hAnsiTheme="minorHAnsi"/>
      <w:spacing w:val="-2"/>
      <w:sz w:val="14"/>
      <w:szCs w:val="24"/>
    </w:rPr>
  </w:style>
  <w:style w:type="character" w:customStyle="1" w:styleId="Heading1Char">
    <w:name w:val="Heading 1 Char"/>
    <w:basedOn w:val="DefaultParagraphFont"/>
    <w:link w:val="Heading1"/>
    <w:uiPriority w:val="1"/>
    <w:rsid w:val="00867DBB"/>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1"/>
    <w:rsid w:val="0075028E"/>
    <w:rPr>
      <w:rFonts w:asciiTheme="majorHAnsi" w:eastAsiaTheme="majorEastAsia" w:hAnsiTheme="majorHAnsi" w:cstheme="majorBidi"/>
      <w:b/>
      <w:bCs/>
      <w:spacing w:val="-2"/>
      <w:sz w:val="18"/>
      <w:szCs w:val="24"/>
    </w:rPr>
  </w:style>
  <w:style w:type="paragraph" w:styleId="ListBullet">
    <w:name w:val="List Bullet"/>
    <w:basedOn w:val="Normal"/>
    <w:qFormat/>
    <w:rsid w:val="00426D18"/>
    <w:pPr>
      <w:numPr>
        <w:numId w:val="44"/>
      </w:numPr>
      <w:spacing w:before="40" w:after="40"/>
    </w:pPr>
  </w:style>
  <w:style w:type="paragraph" w:styleId="Subtitle">
    <w:name w:val="Subtitle"/>
    <w:basedOn w:val="Normal"/>
    <w:next w:val="Normal"/>
    <w:link w:val="SubtitleChar"/>
    <w:rsid w:val="00E70604"/>
    <w:pPr>
      <w:spacing w:before="0" w:after="0" w:line="216" w:lineRule="auto"/>
    </w:pPr>
    <w:rPr>
      <w:color w:val="FFFFFF" w:themeColor="background1"/>
      <w:spacing w:val="-10"/>
      <w:sz w:val="32"/>
      <w:szCs w:val="22"/>
    </w:rPr>
  </w:style>
  <w:style w:type="character" w:customStyle="1" w:styleId="SubtitleChar">
    <w:name w:val="Subtitle Char"/>
    <w:basedOn w:val="DefaultParagraphFont"/>
    <w:link w:val="Subtitle"/>
    <w:rsid w:val="00E70604"/>
    <w:rPr>
      <w:rFonts w:asciiTheme="minorHAnsi" w:eastAsia="Times New Roman" w:hAnsiTheme="minorHAnsi"/>
      <w:color w:val="FFFFFF" w:themeColor="background1"/>
      <w:spacing w:val="-10"/>
      <w:sz w:val="32"/>
      <w:szCs w:val="22"/>
    </w:rPr>
  </w:style>
  <w:style w:type="paragraph" w:styleId="Title">
    <w:name w:val="Title"/>
    <w:basedOn w:val="Normal"/>
    <w:next w:val="Normal"/>
    <w:link w:val="TitleChar"/>
    <w:rsid w:val="00E70604"/>
    <w:pPr>
      <w:spacing w:before="0" w:after="0" w:line="204" w:lineRule="auto"/>
    </w:pPr>
    <w:rPr>
      <w:color w:val="FFFFFF" w:themeColor="background1"/>
      <w:spacing w:val="-20"/>
      <w:sz w:val="52"/>
      <w:szCs w:val="52"/>
    </w:rPr>
  </w:style>
  <w:style w:type="character" w:customStyle="1" w:styleId="TitleChar">
    <w:name w:val="Title Char"/>
    <w:basedOn w:val="DefaultParagraphFont"/>
    <w:link w:val="Title"/>
    <w:rsid w:val="00E70604"/>
    <w:rPr>
      <w:rFonts w:asciiTheme="minorHAnsi" w:eastAsia="Times New Roman" w:hAnsiTheme="minorHAnsi"/>
      <w:color w:val="FFFFFF" w:themeColor="background1"/>
      <w:spacing w:val="-20"/>
      <w:sz w:val="52"/>
      <w:szCs w:val="52"/>
    </w:rPr>
  </w:style>
  <w:style w:type="paragraph" w:styleId="ListBullet2">
    <w:name w:val="List Bullet 2"/>
    <w:basedOn w:val="Normal"/>
    <w:qFormat/>
    <w:rsid w:val="00426D18"/>
    <w:pPr>
      <w:numPr>
        <w:ilvl w:val="1"/>
        <w:numId w:val="44"/>
      </w:numPr>
      <w:spacing w:before="40" w:after="40"/>
    </w:pPr>
  </w:style>
  <w:style w:type="paragraph" w:customStyle="1" w:styleId="ColumnHeading">
    <w:name w:val="Column Heading"/>
    <w:basedOn w:val="Normal"/>
    <w:qFormat/>
    <w:rsid w:val="00152CEE"/>
    <w:pPr>
      <w:spacing w:before="0" w:after="0" w:line="264" w:lineRule="auto"/>
    </w:pPr>
    <w:rPr>
      <w:rFonts w:asciiTheme="majorHAnsi" w:hAnsiTheme="majorHAnsi"/>
      <w:b/>
      <w:caps/>
      <w:spacing w:val="4"/>
      <w:sz w:val="16"/>
      <w:szCs w:val="18"/>
      <w:lang w:val="en-US"/>
    </w:rPr>
  </w:style>
  <w:style w:type="character" w:customStyle="1" w:styleId="ui-provider">
    <w:name w:val="ui-provider"/>
    <w:basedOn w:val="DefaultParagraphFont"/>
    <w:rsid w:val="00A9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558">
      <w:bodyDiv w:val="1"/>
      <w:marLeft w:val="0"/>
      <w:marRight w:val="0"/>
      <w:marTop w:val="0"/>
      <w:marBottom w:val="0"/>
      <w:divBdr>
        <w:top w:val="none" w:sz="0" w:space="0" w:color="auto"/>
        <w:left w:val="none" w:sz="0" w:space="0" w:color="auto"/>
        <w:bottom w:val="none" w:sz="0" w:space="0" w:color="auto"/>
        <w:right w:val="none" w:sz="0" w:space="0" w:color="auto"/>
      </w:divBdr>
    </w:div>
    <w:div w:id="115879920">
      <w:bodyDiv w:val="1"/>
      <w:marLeft w:val="0"/>
      <w:marRight w:val="0"/>
      <w:marTop w:val="0"/>
      <w:marBottom w:val="0"/>
      <w:divBdr>
        <w:top w:val="none" w:sz="0" w:space="0" w:color="auto"/>
        <w:left w:val="none" w:sz="0" w:space="0" w:color="auto"/>
        <w:bottom w:val="none" w:sz="0" w:space="0" w:color="auto"/>
        <w:right w:val="none" w:sz="0" w:space="0" w:color="auto"/>
      </w:divBdr>
    </w:div>
    <w:div w:id="364522098">
      <w:bodyDiv w:val="1"/>
      <w:marLeft w:val="0"/>
      <w:marRight w:val="0"/>
      <w:marTop w:val="0"/>
      <w:marBottom w:val="0"/>
      <w:divBdr>
        <w:top w:val="none" w:sz="0" w:space="0" w:color="auto"/>
        <w:left w:val="none" w:sz="0" w:space="0" w:color="auto"/>
        <w:bottom w:val="none" w:sz="0" w:space="0" w:color="auto"/>
        <w:right w:val="none" w:sz="0" w:space="0" w:color="auto"/>
      </w:divBdr>
    </w:div>
    <w:div w:id="431167208">
      <w:bodyDiv w:val="1"/>
      <w:marLeft w:val="0"/>
      <w:marRight w:val="0"/>
      <w:marTop w:val="0"/>
      <w:marBottom w:val="0"/>
      <w:divBdr>
        <w:top w:val="none" w:sz="0" w:space="0" w:color="auto"/>
        <w:left w:val="none" w:sz="0" w:space="0" w:color="auto"/>
        <w:bottom w:val="none" w:sz="0" w:space="0" w:color="auto"/>
        <w:right w:val="none" w:sz="0" w:space="0" w:color="auto"/>
      </w:divBdr>
    </w:div>
    <w:div w:id="670528813">
      <w:bodyDiv w:val="1"/>
      <w:marLeft w:val="0"/>
      <w:marRight w:val="0"/>
      <w:marTop w:val="0"/>
      <w:marBottom w:val="0"/>
      <w:divBdr>
        <w:top w:val="none" w:sz="0" w:space="0" w:color="auto"/>
        <w:left w:val="none" w:sz="0" w:space="0" w:color="auto"/>
        <w:bottom w:val="none" w:sz="0" w:space="0" w:color="auto"/>
        <w:right w:val="none" w:sz="0" w:space="0" w:color="auto"/>
      </w:divBdr>
    </w:div>
    <w:div w:id="817264785">
      <w:bodyDiv w:val="1"/>
      <w:marLeft w:val="0"/>
      <w:marRight w:val="0"/>
      <w:marTop w:val="0"/>
      <w:marBottom w:val="0"/>
      <w:divBdr>
        <w:top w:val="none" w:sz="0" w:space="0" w:color="auto"/>
        <w:left w:val="none" w:sz="0" w:space="0" w:color="auto"/>
        <w:bottom w:val="none" w:sz="0" w:space="0" w:color="auto"/>
        <w:right w:val="none" w:sz="0" w:space="0" w:color="auto"/>
      </w:divBdr>
    </w:div>
    <w:div w:id="833690356">
      <w:bodyDiv w:val="1"/>
      <w:marLeft w:val="0"/>
      <w:marRight w:val="0"/>
      <w:marTop w:val="0"/>
      <w:marBottom w:val="0"/>
      <w:divBdr>
        <w:top w:val="none" w:sz="0" w:space="0" w:color="auto"/>
        <w:left w:val="none" w:sz="0" w:space="0" w:color="auto"/>
        <w:bottom w:val="none" w:sz="0" w:space="0" w:color="auto"/>
        <w:right w:val="none" w:sz="0" w:space="0" w:color="auto"/>
      </w:divBdr>
    </w:div>
    <w:div w:id="1644458058">
      <w:bodyDiv w:val="1"/>
      <w:marLeft w:val="0"/>
      <w:marRight w:val="0"/>
      <w:marTop w:val="0"/>
      <w:marBottom w:val="0"/>
      <w:divBdr>
        <w:top w:val="none" w:sz="0" w:space="0" w:color="auto"/>
        <w:left w:val="none" w:sz="0" w:space="0" w:color="auto"/>
        <w:bottom w:val="none" w:sz="0" w:space="0" w:color="auto"/>
        <w:right w:val="none" w:sz="0" w:space="0" w:color="auto"/>
      </w:divBdr>
    </w:div>
    <w:div w:id="1840847613">
      <w:bodyDiv w:val="1"/>
      <w:marLeft w:val="0"/>
      <w:marRight w:val="0"/>
      <w:marTop w:val="0"/>
      <w:marBottom w:val="0"/>
      <w:divBdr>
        <w:top w:val="none" w:sz="0" w:space="0" w:color="auto"/>
        <w:left w:val="none" w:sz="0" w:space="0" w:color="auto"/>
        <w:bottom w:val="none" w:sz="0" w:space="0" w:color="auto"/>
        <w:right w:val="none" w:sz="0" w:space="0" w:color="auto"/>
      </w:divBdr>
    </w:div>
    <w:div w:id="1870221032">
      <w:bodyDiv w:val="1"/>
      <w:marLeft w:val="0"/>
      <w:marRight w:val="0"/>
      <w:marTop w:val="0"/>
      <w:marBottom w:val="0"/>
      <w:divBdr>
        <w:top w:val="none" w:sz="0" w:space="0" w:color="auto"/>
        <w:left w:val="none" w:sz="0" w:space="0" w:color="auto"/>
        <w:bottom w:val="none" w:sz="0" w:space="0" w:color="auto"/>
        <w:right w:val="none" w:sz="0" w:space="0" w:color="auto"/>
      </w:divBdr>
    </w:div>
    <w:div w:id="1893494612">
      <w:bodyDiv w:val="1"/>
      <w:marLeft w:val="0"/>
      <w:marRight w:val="0"/>
      <w:marTop w:val="0"/>
      <w:marBottom w:val="0"/>
      <w:divBdr>
        <w:top w:val="none" w:sz="0" w:space="0" w:color="auto"/>
        <w:left w:val="none" w:sz="0" w:space="0" w:color="auto"/>
        <w:bottom w:val="none" w:sz="0" w:space="0" w:color="auto"/>
        <w:right w:val="none" w:sz="0" w:space="0" w:color="auto"/>
      </w:divBdr>
    </w:div>
    <w:div w:id="207854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unt Fact File">
      <a:dk1>
        <a:sysClr val="windowText" lastClr="000000"/>
      </a:dk1>
      <a:lt1>
        <a:sysClr val="window" lastClr="FFFFFF"/>
      </a:lt1>
      <a:dk2>
        <a:srgbClr val="1B396A"/>
      </a:dk2>
      <a:lt2>
        <a:srgbClr val="FFFFFF"/>
      </a:lt2>
      <a:accent1>
        <a:srgbClr val="1B396A"/>
      </a:accent1>
      <a:accent2>
        <a:srgbClr val="A9BBCC"/>
      </a:accent2>
      <a:accent3>
        <a:srgbClr val="D9861C"/>
      </a:accent3>
      <a:accent4>
        <a:srgbClr val="EEC216"/>
      </a:accent4>
      <a:accent5>
        <a:srgbClr val="3F3F3F"/>
      </a:accent5>
      <a:accent6>
        <a:srgbClr val="7F7F7F"/>
      </a:accent6>
      <a:hlink>
        <a:srgbClr val="000000"/>
      </a:hlink>
      <a:folHlink>
        <a:srgbClr val="00000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Overflow="clip" wrap="square" rtlCol="0"/>
      <a:lstStyle>
        <a:defPPr>
          <a:defRPr sz="100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531551BBA29AF48A0DF13BF40DA785F" ma:contentTypeVersion="26" ma:contentTypeDescription="Create a new document." ma:contentTypeScope="" ma:versionID="4c1027d376bd6b7923ee469885a982e4">
  <xsd:schema xmlns:xsd="http://www.w3.org/2001/XMLSchema" xmlns:xs="http://www.w3.org/2001/XMLSchema" xmlns:p="http://schemas.microsoft.com/office/2006/metadata/properties" xmlns:ns1="http://schemas.microsoft.com/sharepoint/v3" xmlns:ns2="97884903-a30f-431d-8d90-f33171442c10" xmlns:ns3="aa738544-32a4-411c-8186-5d55981d2b6e" targetNamespace="http://schemas.microsoft.com/office/2006/metadata/properties" ma:root="true" ma:fieldsID="5363b0ed97ef7fb3f74f17208673363c" ns1:_="" ns2:_="" ns3:_="">
    <xsd:import namespace="http://schemas.microsoft.com/sharepoint/v3"/>
    <xsd:import namespace="97884903-a30f-431d-8d90-f33171442c10"/>
    <xsd:import namespace="aa738544-32a4-411c-8186-5d55981d2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PrimeConfidenceScore" minOccurs="0"/>
                <xsd:element ref="ns3:PrimeModelURL" minOccurs="0"/>
                <xsd:element ref="ns3:PrimeModelVersion" minOccurs="0"/>
                <xsd:element ref="ns3:PrimeLastClassified" minOccurs="0"/>
                <xsd:element ref="ns3:PrimeCorrectedByUser" minOccurs="0"/>
                <xsd:element ref="ns3:_Model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84903-a30f-431d-8d90-f3317144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30beb5-562b-474f-9067-f42073e519e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38544-32a4-411c-8186-5d55981d2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141024-df06-4e56-b2b3-05d41e258e67}" ma:internalName="TaxCatchAll" ma:showField="CatchAllData" ma:web="aa738544-32a4-411c-8186-5d55981d2b6e">
      <xsd:complexType>
        <xsd:complexContent>
          <xsd:extension base="dms:MultiChoiceLookup">
            <xsd:sequence>
              <xsd:element name="Value" type="dms:Lookup" maxOccurs="unbounded" minOccurs="0" nillable="true"/>
            </xsd:sequence>
          </xsd:extension>
        </xsd:complexContent>
      </xsd:complexType>
    </xsd:element>
    <xsd:element name="PrimeConfidenceScore" ma:index="27" nillable="true" ma:displayName="Confidence Score" ma:decimals="4" ma:internalName="PrimeConfidenceScore" ma:percentage="TRUE">
      <xsd:simpleType>
        <xsd:restriction base="dms:Number"/>
      </xsd:simpleType>
    </xsd:element>
    <xsd:element name="PrimeModelURL" ma:index="28" nillable="true" ma:displayName="Model URL" ma:internalName="PrimeModelURL">
      <xsd:complexType>
        <xsd:complexContent>
          <xsd:extension base="dms:URL">
            <xsd:sequence>
              <xsd:element name="Url" type="dms:ValidUrl" minOccurs="0" nillable="true"/>
              <xsd:element name="Description" type="xsd:string" nillable="true"/>
            </xsd:sequence>
          </xsd:extension>
        </xsd:complexContent>
      </xsd:complexType>
    </xsd:element>
    <xsd:element name="PrimeModelVersion" ma:index="29" nillable="true" ma:displayName="Model Version" ma:internalName="PrimeModelVersion">
      <xsd:simpleType>
        <xsd:restriction base="dms:Text"/>
      </xsd:simpleType>
    </xsd:element>
    <xsd:element name="PrimeLastClassified" ma:index="30" nillable="true" ma:displayName="Classification Date" ma:internalName="PrimeLastClassified">
      <xsd:simpleType>
        <xsd:restriction base="dms:DateTime"/>
      </xsd:simpleType>
    </xsd:element>
    <xsd:element name="PrimeCorrectedByUser" ma:index="31" nillable="true" ma:displayName="Corrected" ma:internalName="PrimeCorrectedByUser">
      <xsd:simpleType>
        <xsd:restriction base="dms:Boolean"/>
      </xsd:simpleType>
    </xsd:element>
    <xsd:element name="_ModelId" ma:index="32" nillable="true" ma:displayName="_ModelId" ma:internalName="_Model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97884903-a30f-431d-8d90-f33171442c10">
      <Terms xmlns="http://schemas.microsoft.com/office/infopath/2007/PartnerControls"/>
    </lcf76f155ced4ddcb4097134ff3c332f>
    <TaxCatchAll xmlns="aa738544-32a4-411c-8186-5d55981d2b6e" xsi:nil="true"/>
    <PrimeConfidenceScore xmlns="aa738544-32a4-411c-8186-5d55981d2b6e" xsi:nil="true"/>
    <PrimeLastClassified xmlns="aa738544-32a4-411c-8186-5d55981d2b6e" xsi:nil="true"/>
    <PrimeModelVersion xmlns="aa738544-32a4-411c-8186-5d55981d2b6e" xsi:nil="true"/>
    <PrimeCorrectedByUser xmlns="aa738544-32a4-411c-8186-5d55981d2b6e" xsi:nil="true"/>
    <_ModelId xmlns="aa738544-32a4-411c-8186-5d55981d2b6e" xsi:nil="true"/>
    <PrimeModelURL xmlns="aa738544-32a4-411c-8186-5d55981d2b6e">
      <Url xsi:nil="true"/>
      <Description xsi:nil="true"/>
    </PrimeModelURL>
  </documentManagement>
</p:properties>
</file>

<file path=customXml/itemProps1.xml><?xml version="1.0" encoding="utf-8"?>
<ds:datastoreItem xmlns:ds="http://schemas.openxmlformats.org/officeDocument/2006/customXml" ds:itemID="{8954F597-8911-49B0-8F19-8E6FD27D0216}">
  <ds:schemaRefs>
    <ds:schemaRef ds:uri="http://schemas.microsoft.com/sharepoint/v3/contenttype/forms"/>
  </ds:schemaRefs>
</ds:datastoreItem>
</file>

<file path=customXml/itemProps2.xml><?xml version="1.0" encoding="utf-8"?>
<ds:datastoreItem xmlns:ds="http://schemas.openxmlformats.org/officeDocument/2006/customXml" ds:itemID="{E0F30DE1-71D1-49CE-A005-D15E3AC0520F}">
  <ds:schemaRefs>
    <ds:schemaRef ds:uri="http://schemas.openxmlformats.org/officeDocument/2006/bibliography"/>
  </ds:schemaRefs>
</ds:datastoreItem>
</file>

<file path=customXml/itemProps3.xml><?xml version="1.0" encoding="utf-8"?>
<ds:datastoreItem xmlns:ds="http://schemas.openxmlformats.org/officeDocument/2006/customXml" ds:itemID="{A47CDC49-0E4A-4B8B-A301-754B37F3A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84903-a30f-431d-8d90-f33171442c10"/>
    <ds:schemaRef ds:uri="aa738544-32a4-411c-8186-5d55981d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83F46-5C7A-4227-B1A0-BB8B65D885C9}">
  <ds:schemaRefs>
    <ds:schemaRef ds:uri="http://schemas.microsoft.com/office/2006/metadata/properties"/>
    <ds:schemaRef ds:uri="http://schemas.microsoft.com/sharepoint/v3"/>
    <ds:schemaRef ds:uri="97884903-a30f-431d-8d90-f33171442c10"/>
    <ds:schemaRef ds:uri="http://schemas.microsoft.com/office/infopath/2007/PartnerControls"/>
    <ds:schemaRef ds:uri="aa738544-32a4-411c-8186-5d55981d2b6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788</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FW Factfile</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Count-Market-Volatility</dc:title>
  <dc:creator>kim reeves</dc:creator>
  <cp:lastModifiedBy>Michelle Komolafe</cp:lastModifiedBy>
  <cp:revision>2</cp:revision>
  <cp:lastPrinted>2020-07-06T03:12:00Z</cp:lastPrinted>
  <dcterms:created xsi:type="dcterms:W3CDTF">2023-08-17T05:07:00Z</dcterms:created>
  <dcterms:modified xsi:type="dcterms:W3CDTF">2023-08-17T05:07:00Z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0x010100C531551BBA29AF48A0DF13BF40DA785F</vt:lpwstr>
  </property>
  <property fmtid="{D5CDD505-2E9C-101B-9397-08002B2CF9AE}" pid="3" name="Order">
    <vt:r8>4930000</vt:r8>
  </property>
  <property fmtid="{D5CDD505-2E9C-101B-9397-08002B2CF9AE}" pid="4" name="MediaServiceImageTags">
    <vt:lpwstr/>
  </property>
  <property fmtid="{D5CDD505-2E9C-101B-9397-08002B2CF9AE}" pid="5" name="GrammarlyDocumentId">
    <vt:lpwstr>aa0de27ea4666b71cde2457fdb6b9f004ba7151acb05540f45d667b57f41190e</vt:lpwstr>
  </property>
</Properties>
</file>