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ACEC" w14:textId="47B615FB" w:rsidR="006F583A" w:rsidRDefault="006F583A" w:rsidP="008E276F">
      <w:pPr>
        <w:keepNext/>
        <w:keepLines/>
        <w:rPr>
          <w:b/>
          <w:color w:val="333F48" w:themeColor="accent1"/>
          <w:sz w:val="24"/>
        </w:rPr>
      </w:pPr>
    </w:p>
    <w:p w14:paraId="6E79DAD5" w14:textId="77777777" w:rsidR="006F583A" w:rsidRDefault="006F583A" w:rsidP="008E276F">
      <w:pPr>
        <w:keepNext/>
        <w:keepLines/>
        <w:rPr>
          <w:b/>
          <w:color w:val="333F48" w:themeColor="accent1"/>
          <w:sz w:val="24"/>
        </w:rPr>
      </w:pPr>
    </w:p>
    <w:p w14:paraId="53CD120B" w14:textId="77777777" w:rsidR="006F583A" w:rsidRDefault="006F583A" w:rsidP="008E276F">
      <w:pPr>
        <w:keepNext/>
        <w:keepLines/>
        <w:rPr>
          <w:b/>
          <w:color w:val="333F48" w:themeColor="accent1"/>
          <w:sz w:val="24"/>
        </w:rPr>
      </w:pPr>
    </w:p>
    <w:p w14:paraId="7D3A02CA" w14:textId="77777777" w:rsidR="006F583A" w:rsidRDefault="006F583A" w:rsidP="008E276F">
      <w:pPr>
        <w:keepNext/>
        <w:keepLines/>
        <w:rPr>
          <w:b/>
          <w:color w:val="333F48" w:themeColor="accent1"/>
          <w:sz w:val="24"/>
        </w:rPr>
      </w:pPr>
    </w:p>
    <w:p w14:paraId="7770309F" w14:textId="023A531A" w:rsidR="00601335" w:rsidRPr="00D6366F" w:rsidRDefault="00601335" w:rsidP="00601335">
      <w:pPr>
        <w:keepNext/>
        <w:keepLines/>
        <w:rPr>
          <w:b/>
          <w:color w:val="333F48"/>
          <w:sz w:val="24"/>
        </w:rPr>
      </w:pPr>
      <w:r w:rsidRPr="00D6366F">
        <w:rPr>
          <w:b/>
          <w:color w:val="333F48"/>
          <w:sz w:val="24"/>
        </w:rPr>
        <w:t>Some retirees who need aged care may prefer to stay at home. Whilst others may need or prefer the assistance that a residential aged care facility can provide. This document provides information on the fees and charges that apply to those who first receive home care or residential aged care on or after 1 July 2014.</w:t>
      </w:r>
    </w:p>
    <w:p w14:paraId="260640BE" w14:textId="77777777" w:rsidR="00601335" w:rsidRPr="007F121E" w:rsidRDefault="00601335" w:rsidP="00601335">
      <w:pPr>
        <w:pStyle w:val="Intro"/>
        <w:rPr>
          <w:noProof w:val="0"/>
          <w:color w:val="005799"/>
        </w:rPr>
      </w:pPr>
      <w:r w:rsidRPr="007F121E">
        <w:rPr>
          <w:noProof w:val="0"/>
        </w:rPr>
        <w:t xml:space="preserve"> </w:t>
      </w:r>
    </w:p>
    <w:p w14:paraId="58EE91F6" w14:textId="77777777" w:rsidR="00601335" w:rsidRPr="007F121E" w:rsidRDefault="00601335" w:rsidP="00601335">
      <w:pPr>
        <w:pStyle w:val="ListParagraph"/>
        <w:numPr>
          <w:ilvl w:val="0"/>
          <w:numId w:val="1"/>
        </w:numPr>
        <w:rPr>
          <w:rFonts w:ascii="Verdana" w:hAnsi="Verdana" w:cstheme="minorHAnsi"/>
          <w:b/>
        </w:rPr>
        <w:sectPr w:rsidR="00601335" w:rsidRPr="007F121E" w:rsidSect="00A704BD">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567" w:bottom="1134" w:left="567" w:header="0" w:footer="454" w:gutter="0"/>
          <w:cols w:space="720"/>
          <w:noEndnote/>
          <w:titlePg/>
          <w:docGrid w:linePitch="272"/>
        </w:sectPr>
      </w:pPr>
    </w:p>
    <w:p w14:paraId="53627B82" w14:textId="0ECC0550" w:rsidR="00601335" w:rsidRPr="00667109" w:rsidRDefault="00601335" w:rsidP="00601335">
      <w:pPr>
        <w:pStyle w:val="FFbody"/>
        <w:keepNext/>
        <w:keepLines/>
        <w:rPr>
          <w:lang w:val="en-AU"/>
        </w:rPr>
      </w:pPr>
      <w:r w:rsidRPr="00667109">
        <w:rPr>
          <w:lang w:val="en-AU"/>
        </w:rPr>
        <w:t xml:space="preserve">To access a Home Care Package or </w:t>
      </w:r>
      <w:r w:rsidRPr="00667109">
        <w:t>enter</w:t>
      </w:r>
      <w:r>
        <w:rPr>
          <w:lang w:val="en-AU"/>
        </w:rPr>
        <w:t xml:space="preserve"> </w:t>
      </w:r>
      <w:r w:rsidRPr="00667109">
        <w:t>residential aged care,</w:t>
      </w:r>
      <w:r w:rsidRPr="00667109">
        <w:rPr>
          <w:lang w:val="en-AU"/>
        </w:rPr>
        <w:t xml:space="preserve"> the person requiring care </w:t>
      </w:r>
      <w:r w:rsidRPr="00667109">
        <w:t xml:space="preserve">must be assessed and approved by the </w:t>
      </w:r>
      <w:r>
        <w:rPr>
          <w:lang w:val="en-AU"/>
        </w:rPr>
        <w:t>G</w:t>
      </w:r>
      <w:r w:rsidRPr="00667109">
        <w:t>overnment's Aged Care Assessment Team (ACAT)</w:t>
      </w:r>
      <w:r w:rsidR="00570BBC">
        <w:rPr>
          <w:lang w:val="en-AU"/>
        </w:rPr>
        <w:t xml:space="preserve"> or Aged Care Assessment Services (ACAS) in Victoria.</w:t>
      </w:r>
      <w:r w:rsidRPr="00667109">
        <w:t xml:space="preserve"> ACAT helps older people and those who care for them</w:t>
      </w:r>
      <w:r w:rsidRPr="00667109">
        <w:rPr>
          <w:lang w:val="en-AU"/>
        </w:rPr>
        <w:t>,</w:t>
      </w:r>
      <w:r w:rsidRPr="00667109">
        <w:t xml:space="preserve"> decide what kind of care will best meet their needs when they can no longer manage on their own. ACAT is made up of a range of health care professionals, including doctors, nurses and social workers.</w:t>
      </w:r>
    </w:p>
    <w:p w14:paraId="04290EB6" w14:textId="77777777" w:rsidR="00601335" w:rsidRPr="00667109" w:rsidRDefault="00601335" w:rsidP="00601335">
      <w:pPr>
        <w:pStyle w:val="FFbody"/>
        <w:keepNext/>
        <w:keepLines/>
      </w:pPr>
      <w:r w:rsidRPr="00667109">
        <w:t xml:space="preserve">ACAT thoroughly assesses a person’s situation and care needs, provides information on suitable care options and can help arrange access or referrals to residential or </w:t>
      </w:r>
      <w:r w:rsidRPr="00667109">
        <w:rPr>
          <w:lang w:val="en-AU"/>
        </w:rPr>
        <w:t>home</w:t>
      </w:r>
      <w:r w:rsidRPr="00667109">
        <w:t xml:space="preserve"> care in the local area.</w:t>
      </w:r>
      <w:r w:rsidRPr="00667109">
        <w:rPr>
          <w:lang w:val="en-AU"/>
        </w:rPr>
        <w:t xml:space="preserve"> </w:t>
      </w:r>
      <w:r w:rsidRPr="00667109">
        <w:t xml:space="preserve">You can arrange an appointment with the ACAT closest to you by </w:t>
      </w:r>
      <w:r w:rsidRPr="00667109">
        <w:rPr>
          <w:lang w:val="en-AU"/>
        </w:rPr>
        <w:t xml:space="preserve">accessing the Government’s aged care portal ‘My Aged Care’ at </w:t>
      </w:r>
      <w:hyperlink r:id="rId17" w:history="1">
        <w:r w:rsidRPr="00667109">
          <w:rPr>
            <w:rStyle w:val="Hyperlink"/>
            <w:lang w:val="en-AU"/>
          </w:rPr>
          <w:t>www.myagedcare.gov.au</w:t>
        </w:r>
      </w:hyperlink>
      <w:r w:rsidRPr="00667109">
        <w:rPr>
          <w:lang w:val="en-AU"/>
        </w:rPr>
        <w:t xml:space="preserve"> or </w:t>
      </w:r>
      <w:r w:rsidRPr="00667109">
        <w:t xml:space="preserve">calling </w:t>
      </w:r>
      <w:r w:rsidRPr="00667109">
        <w:rPr>
          <w:lang w:val="en-AU"/>
        </w:rPr>
        <w:t>1800 200 422</w:t>
      </w:r>
      <w:r w:rsidRPr="00667109">
        <w:t>. Alternatively your doctor can make an appointment with the ACAT in your area.</w:t>
      </w:r>
    </w:p>
    <w:p w14:paraId="3625FF7C" w14:textId="77777777" w:rsidR="00601335" w:rsidRPr="008E276F" w:rsidRDefault="00601335" w:rsidP="00601335">
      <w:pPr>
        <w:pStyle w:val="FFbody"/>
        <w:spacing w:before="120"/>
        <w:rPr>
          <w:rFonts w:asciiTheme="minorHAnsi" w:hAnsiTheme="minorHAnsi"/>
          <w:b/>
          <w:color w:val="333F48" w:themeColor="accent1"/>
          <w:sz w:val="28"/>
          <w:szCs w:val="28"/>
          <w:lang w:val="en-AU" w:eastAsia="en-US"/>
        </w:rPr>
      </w:pPr>
      <w:r w:rsidRPr="008E276F">
        <w:rPr>
          <w:rFonts w:asciiTheme="minorHAnsi" w:hAnsiTheme="minorHAnsi"/>
          <w:b/>
          <w:color w:val="333F48" w:themeColor="accent1"/>
          <w:sz w:val="28"/>
          <w:szCs w:val="28"/>
          <w:lang w:val="en-AU" w:eastAsia="en-US"/>
        </w:rPr>
        <w:t xml:space="preserve">Home care </w:t>
      </w:r>
    </w:p>
    <w:p w14:paraId="6AC707B2" w14:textId="77777777" w:rsidR="00601335" w:rsidRPr="00667109" w:rsidRDefault="00601335" w:rsidP="00601335">
      <w:pPr>
        <w:autoSpaceDE w:val="0"/>
        <w:autoSpaceDN w:val="0"/>
        <w:adjustRightInd w:val="0"/>
        <w:rPr>
          <w:rFonts w:eastAsia="PMingLiU" w:cs="Arial"/>
          <w:szCs w:val="20"/>
        </w:rPr>
      </w:pPr>
      <w:r w:rsidRPr="00667109">
        <w:rPr>
          <w:rFonts w:eastAsia="PMingLiU" w:cs="Arial"/>
          <w:szCs w:val="20"/>
        </w:rPr>
        <w:t xml:space="preserve">Many people who need care are not aware that a variety of services are available for those who prefer to stay at home.  </w:t>
      </w:r>
    </w:p>
    <w:p w14:paraId="707F14B9" w14:textId="77777777" w:rsidR="00601335" w:rsidRPr="00667109" w:rsidRDefault="00601335" w:rsidP="00601335">
      <w:pPr>
        <w:autoSpaceDE w:val="0"/>
        <w:autoSpaceDN w:val="0"/>
        <w:adjustRightInd w:val="0"/>
        <w:rPr>
          <w:rFonts w:eastAsia="PMingLiU" w:cs="Arial"/>
          <w:szCs w:val="20"/>
        </w:rPr>
      </w:pPr>
      <w:r w:rsidRPr="00667109">
        <w:rPr>
          <w:rFonts w:eastAsia="PMingLiU" w:cs="Arial"/>
          <w:iCs/>
          <w:szCs w:val="20"/>
        </w:rPr>
        <w:t xml:space="preserve">Home Care Packages provide </w:t>
      </w:r>
      <w:r w:rsidRPr="00667109">
        <w:rPr>
          <w:rFonts w:eastAsia="PMingLiU" w:cs="Arial"/>
          <w:szCs w:val="20"/>
        </w:rPr>
        <w:t xml:space="preserve">Government subsidised services to assist people to remain in their home for as long as possible. </w:t>
      </w:r>
    </w:p>
    <w:p w14:paraId="564AEE1F" w14:textId="77777777" w:rsidR="00601335" w:rsidRPr="00667109" w:rsidRDefault="00601335" w:rsidP="00601335">
      <w:pPr>
        <w:autoSpaceDE w:val="0"/>
        <w:autoSpaceDN w:val="0"/>
        <w:adjustRightInd w:val="0"/>
        <w:rPr>
          <w:rFonts w:eastAsia="PMingLiU" w:cs="Arial"/>
          <w:szCs w:val="20"/>
        </w:rPr>
      </w:pPr>
      <w:r w:rsidRPr="00667109">
        <w:rPr>
          <w:rFonts w:eastAsia="PMingLiU" w:cs="Arial"/>
          <w:szCs w:val="20"/>
        </w:rPr>
        <w:t>Services include:</w:t>
      </w:r>
    </w:p>
    <w:p w14:paraId="139E1147" w14:textId="77777777" w:rsidR="00601335" w:rsidRPr="00667109" w:rsidRDefault="00601335" w:rsidP="00601335">
      <w:pPr>
        <w:numPr>
          <w:ilvl w:val="0"/>
          <w:numId w:val="29"/>
        </w:numPr>
        <w:autoSpaceDE w:val="0"/>
        <w:autoSpaceDN w:val="0"/>
        <w:adjustRightInd w:val="0"/>
        <w:spacing w:before="0" w:line="240" w:lineRule="auto"/>
        <w:ind w:left="357" w:hanging="357"/>
        <w:rPr>
          <w:rFonts w:eastAsia="PMingLiU" w:cs="Arial"/>
          <w:szCs w:val="20"/>
        </w:rPr>
      </w:pPr>
      <w:r w:rsidRPr="00667109">
        <w:rPr>
          <w:rFonts w:eastAsia="PMingLiU" w:cs="Arial"/>
          <w:szCs w:val="20"/>
        </w:rPr>
        <w:t xml:space="preserve">Personal care – such as help with showering or bathing, dressing, mobility, meal preparation and eating </w:t>
      </w:r>
    </w:p>
    <w:p w14:paraId="3209877E" w14:textId="77777777" w:rsidR="00601335" w:rsidRPr="00667109" w:rsidRDefault="00601335" w:rsidP="00601335">
      <w:pPr>
        <w:numPr>
          <w:ilvl w:val="0"/>
          <w:numId w:val="29"/>
        </w:numPr>
        <w:autoSpaceDE w:val="0"/>
        <w:autoSpaceDN w:val="0"/>
        <w:adjustRightInd w:val="0"/>
        <w:spacing w:before="0" w:line="240" w:lineRule="auto"/>
        <w:rPr>
          <w:rFonts w:eastAsia="PMingLiU" w:cs="Arial"/>
          <w:szCs w:val="20"/>
        </w:rPr>
      </w:pPr>
      <w:r w:rsidRPr="00667109">
        <w:rPr>
          <w:rFonts w:eastAsia="PMingLiU" w:cs="Arial"/>
          <w:szCs w:val="20"/>
        </w:rPr>
        <w:t xml:space="preserve">Support services – such as help with washing and ironing, house cleaning, gardening, basic home maintenance, home modifications related to care needs such as handrails in the shower, and transport to assist with shopping, visiting the doctor or attending social activities </w:t>
      </w:r>
    </w:p>
    <w:p w14:paraId="329FB72E" w14:textId="77777777" w:rsidR="00601335" w:rsidRPr="00667109" w:rsidRDefault="00601335" w:rsidP="00601335">
      <w:pPr>
        <w:numPr>
          <w:ilvl w:val="0"/>
          <w:numId w:val="29"/>
        </w:numPr>
        <w:autoSpaceDE w:val="0"/>
        <w:autoSpaceDN w:val="0"/>
        <w:adjustRightInd w:val="0"/>
        <w:spacing w:before="0" w:line="240" w:lineRule="auto"/>
        <w:rPr>
          <w:rFonts w:eastAsia="PMingLiU" w:cs="Arial"/>
          <w:szCs w:val="20"/>
        </w:rPr>
      </w:pPr>
      <w:r w:rsidRPr="00667109">
        <w:rPr>
          <w:rFonts w:eastAsia="PMingLiU" w:cs="Arial"/>
          <w:szCs w:val="20"/>
        </w:rPr>
        <w:t xml:space="preserve">Clinical care – such as nursing, and other health support including physiotherapy (exercise, mobility, </w:t>
      </w:r>
      <w:proofErr w:type="gramStart"/>
      <w:r w:rsidRPr="00667109">
        <w:rPr>
          <w:rFonts w:eastAsia="PMingLiU" w:cs="Arial"/>
          <w:szCs w:val="20"/>
        </w:rPr>
        <w:t>strength</w:t>
      </w:r>
      <w:proofErr w:type="gramEnd"/>
      <w:r w:rsidRPr="00667109">
        <w:rPr>
          <w:rFonts w:eastAsia="PMingLiU" w:cs="Arial"/>
          <w:szCs w:val="20"/>
        </w:rPr>
        <w:t xml:space="preserve"> and balance) and podiatry (foot care). </w:t>
      </w:r>
    </w:p>
    <w:p w14:paraId="34432159" w14:textId="77777777" w:rsidR="00601335" w:rsidRPr="00667109" w:rsidRDefault="00601335" w:rsidP="00601335">
      <w:pPr>
        <w:autoSpaceDE w:val="0"/>
        <w:autoSpaceDN w:val="0"/>
        <w:adjustRightInd w:val="0"/>
        <w:rPr>
          <w:rFonts w:eastAsia="PMingLiU" w:cs="Arial"/>
          <w:szCs w:val="20"/>
        </w:rPr>
      </w:pPr>
      <w:r w:rsidRPr="00667109">
        <w:rPr>
          <w:rFonts w:eastAsia="PMingLiU" w:cs="Arial"/>
          <w:szCs w:val="20"/>
        </w:rPr>
        <w:t xml:space="preserve">Other services may also be provided such as aids and equipment to assist with mobility, </w:t>
      </w:r>
      <w:proofErr w:type="gramStart"/>
      <w:r w:rsidRPr="00667109">
        <w:rPr>
          <w:rFonts w:eastAsia="PMingLiU" w:cs="Arial"/>
          <w:szCs w:val="20"/>
        </w:rPr>
        <w:t>communication</w:t>
      </w:r>
      <w:proofErr w:type="gramEnd"/>
      <w:r w:rsidRPr="00667109">
        <w:rPr>
          <w:rFonts w:eastAsia="PMingLiU" w:cs="Arial"/>
          <w:szCs w:val="20"/>
        </w:rPr>
        <w:t xml:space="preserve"> or personal safety. </w:t>
      </w:r>
    </w:p>
    <w:p w14:paraId="0E6331AC" w14:textId="77777777" w:rsidR="00601335" w:rsidRPr="00667109" w:rsidRDefault="00601335" w:rsidP="00601335">
      <w:pPr>
        <w:autoSpaceDE w:val="0"/>
        <w:autoSpaceDN w:val="0"/>
        <w:adjustRightInd w:val="0"/>
        <w:rPr>
          <w:rFonts w:eastAsia="PMingLiU" w:cs="Arial"/>
          <w:b/>
          <w:sz w:val="22"/>
          <w:szCs w:val="22"/>
        </w:rPr>
      </w:pPr>
      <w:r w:rsidRPr="00667109">
        <w:rPr>
          <w:rFonts w:eastAsia="PMingLiU" w:cs="Arial"/>
          <w:b/>
          <w:sz w:val="22"/>
          <w:szCs w:val="22"/>
        </w:rPr>
        <w:t>What types of packages are available?</w:t>
      </w:r>
    </w:p>
    <w:p w14:paraId="0E753AE6" w14:textId="77777777" w:rsidR="00601335" w:rsidRPr="00667109" w:rsidRDefault="00601335" w:rsidP="00601335">
      <w:pPr>
        <w:autoSpaceDE w:val="0"/>
        <w:autoSpaceDN w:val="0"/>
        <w:adjustRightInd w:val="0"/>
        <w:rPr>
          <w:rFonts w:eastAsia="PMingLiU" w:cs="Arial"/>
          <w:szCs w:val="20"/>
        </w:rPr>
      </w:pPr>
      <w:r w:rsidRPr="00667109">
        <w:rPr>
          <w:rFonts w:eastAsia="PMingLiU" w:cs="Arial"/>
          <w:szCs w:val="20"/>
        </w:rPr>
        <w:t xml:space="preserve">There are four levels of Home Care Packages: </w:t>
      </w:r>
    </w:p>
    <w:p w14:paraId="426151DC" w14:textId="77777777" w:rsidR="00601335" w:rsidRPr="00667109" w:rsidRDefault="00601335" w:rsidP="00601335">
      <w:pPr>
        <w:numPr>
          <w:ilvl w:val="0"/>
          <w:numId w:val="30"/>
        </w:numPr>
        <w:autoSpaceDE w:val="0"/>
        <w:autoSpaceDN w:val="0"/>
        <w:adjustRightInd w:val="0"/>
        <w:spacing w:before="0" w:line="240" w:lineRule="auto"/>
        <w:ind w:left="357" w:hanging="357"/>
        <w:rPr>
          <w:rFonts w:eastAsia="PMingLiU" w:cs="Arial"/>
          <w:szCs w:val="20"/>
        </w:rPr>
      </w:pPr>
      <w:r w:rsidRPr="00667109">
        <w:rPr>
          <w:rFonts w:eastAsia="PMingLiU" w:cs="Arial"/>
          <w:szCs w:val="20"/>
        </w:rPr>
        <w:t xml:space="preserve">Home Care Level 1 – to support people with basic care needs </w:t>
      </w:r>
    </w:p>
    <w:p w14:paraId="2A8E49A1" w14:textId="77777777" w:rsidR="00601335" w:rsidRPr="00667109" w:rsidRDefault="00601335" w:rsidP="00601335">
      <w:pPr>
        <w:numPr>
          <w:ilvl w:val="0"/>
          <w:numId w:val="30"/>
        </w:numPr>
        <w:autoSpaceDE w:val="0"/>
        <w:autoSpaceDN w:val="0"/>
        <w:adjustRightInd w:val="0"/>
        <w:spacing w:before="0" w:line="240" w:lineRule="auto"/>
        <w:rPr>
          <w:rFonts w:eastAsia="PMingLiU" w:cs="Arial"/>
          <w:szCs w:val="20"/>
        </w:rPr>
      </w:pPr>
      <w:r w:rsidRPr="00667109">
        <w:rPr>
          <w:rFonts w:eastAsia="PMingLiU" w:cs="Arial"/>
          <w:szCs w:val="20"/>
        </w:rPr>
        <w:t xml:space="preserve">Home Care Level 2 – to support people with low level care needs </w:t>
      </w:r>
    </w:p>
    <w:p w14:paraId="2FAB5DC3" w14:textId="77777777" w:rsidR="00601335" w:rsidRPr="00667109" w:rsidRDefault="00601335" w:rsidP="00601335">
      <w:pPr>
        <w:numPr>
          <w:ilvl w:val="0"/>
          <w:numId w:val="30"/>
        </w:numPr>
        <w:autoSpaceDE w:val="0"/>
        <w:autoSpaceDN w:val="0"/>
        <w:adjustRightInd w:val="0"/>
        <w:spacing w:before="0" w:line="240" w:lineRule="auto"/>
        <w:rPr>
          <w:rFonts w:eastAsia="PMingLiU" w:cs="Arial"/>
          <w:szCs w:val="20"/>
        </w:rPr>
      </w:pPr>
      <w:r w:rsidRPr="00667109">
        <w:rPr>
          <w:rFonts w:eastAsia="PMingLiU" w:cs="Arial"/>
          <w:szCs w:val="20"/>
        </w:rPr>
        <w:t xml:space="preserve">Home Care Level 3 – to support people with intermediate care needs </w:t>
      </w:r>
    </w:p>
    <w:p w14:paraId="5C38C520" w14:textId="77777777" w:rsidR="00601335" w:rsidRPr="00667109" w:rsidRDefault="00601335" w:rsidP="00601335">
      <w:pPr>
        <w:numPr>
          <w:ilvl w:val="0"/>
          <w:numId w:val="30"/>
        </w:numPr>
        <w:autoSpaceDE w:val="0"/>
        <w:autoSpaceDN w:val="0"/>
        <w:adjustRightInd w:val="0"/>
        <w:spacing w:before="0" w:line="240" w:lineRule="auto"/>
        <w:rPr>
          <w:rFonts w:eastAsia="PMingLiU" w:cs="Arial"/>
          <w:szCs w:val="20"/>
        </w:rPr>
      </w:pPr>
      <w:r w:rsidRPr="00667109">
        <w:rPr>
          <w:rFonts w:eastAsia="PMingLiU" w:cs="Arial"/>
          <w:szCs w:val="20"/>
        </w:rPr>
        <w:t xml:space="preserve">Home Care Level 4 – to support people with high care needs </w:t>
      </w:r>
    </w:p>
    <w:p w14:paraId="08EF3AD0" w14:textId="77777777" w:rsidR="00601335" w:rsidRPr="00667109" w:rsidRDefault="00601335" w:rsidP="00601335">
      <w:pPr>
        <w:autoSpaceDE w:val="0"/>
        <w:autoSpaceDN w:val="0"/>
        <w:adjustRightInd w:val="0"/>
        <w:rPr>
          <w:rFonts w:eastAsia="PMingLiU" w:cs="Arial"/>
          <w:b/>
          <w:sz w:val="22"/>
          <w:szCs w:val="22"/>
        </w:rPr>
      </w:pPr>
      <w:r w:rsidRPr="00667109">
        <w:rPr>
          <w:rFonts w:eastAsia="PMingLiU" w:cs="Arial"/>
          <w:b/>
          <w:sz w:val="22"/>
          <w:szCs w:val="22"/>
        </w:rPr>
        <w:t xml:space="preserve">ACAT approvals </w:t>
      </w:r>
    </w:p>
    <w:p w14:paraId="5CAFFD66" w14:textId="77777777" w:rsidR="00601335" w:rsidRPr="00667109" w:rsidRDefault="00601335" w:rsidP="00601335">
      <w:pPr>
        <w:autoSpaceDE w:val="0"/>
        <w:autoSpaceDN w:val="0"/>
        <w:adjustRightInd w:val="0"/>
        <w:rPr>
          <w:rFonts w:eastAsia="PMingLiU" w:cs="Arial"/>
          <w:szCs w:val="20"/>
        </w:rPr>
      </w:pPr>
      <w:r w:rsidRPr="00667109">
        <w:rPr>
          <w:rFonts w:eastAsia="PMingLiU" w:cs="Arial"/>
          <w:szCs w:val="20"/>
        </w:rPr>
        <w:t xml:space="preserve">You must be assessed by the Aged Care Assessment Team (ACAT) as having care needs at least equivalent to a level 1 – basic care needs package. </w:t>
      </w:r>
    </w:p>
    <w:p w14:paraId="669928F7" w14:textId="77777777" w:rsidR="00601335" w:rsidRPr="00667109" w:rsidRDefault="00601335" w:rsidP="00601335">
      <w:pPr>
        <w:autoSpaceDE w:val="0"/>
        <w:autoSpaceDN w:val="0"/>
        <w:adjustRightInd w:val="0"/>
        <w:rPr>
          <w:rFonts w:eastAsia="PMingLiU" w:cs="Arial"/>
          <w:szCs w:val="20"/>
        </w:rPr>
      </w:pPr>
      <w:r w:rsidRPr="00667109">
        <w:rPr>
          <w:rFonts w:eastAsia="PMingLiU" w:cs="Arial"/>
          <w:szCs w:val="20"/>
        </w:rPr>
        <w:t xml:space="preserve">An ACAT approval for a particular level of home care also enables access to any level of home care package lower than the approved level. </w:t>
      </w:r>
    </w:p>
    <w:p w14:paraId="1CC56FB0" w14:textId="77777777" w:rsidR="00601335" w:rsidRPr="00667109" w:rsidRDefault="00601335" w:rsidP="00601335">
      <w:pPr>
        <w:autoSpaceDE w:val="0"/>
        <w:autoSpaceDN w:val="0"/>
        <w:adjustRightInd w:val="0"/>
        <w:rPr>
          <w:rFonts w:eastAsia="PMingLiU" w:cs="Arial"/>
          <w:sz w:val="22"/>
          <w:szCs w:val="22"/>
        </w:rPr>
      </w:pPr>
      <w:r w:rsidRPr="00667109">
        <w:rPr>
          <w:rFonts w:eastAsia="PMingLiU" w:cs="Arial"/>
          <w:b/>
          <w:sz w:val="22"/>
          <w:szCs w:val="22"/>
        </w:rPr>
        <w:t>What is a Home Care Agreement?</w:t>
      </w:r>
    </w:p>
    <w:p w14:paraId="5D5A7240" w14:textId="77777777" w:rsidR="00601335" w:rsidRPr="00667109" w:rsidRDefault="00601335" w:rsidP="00601335">
      <w:pPr>
        <w:autoSpaceDE w:val="0"/>
        <w:autoSpaceDN w:val="0"/>
        <w:adjustRightInd w:val="0"/>
        <w:rPr>
          <w:rFonts w:eastAsia="PMingLiU" w:cs="Arial"/>
          <w:szCs w:val="20"/>
        </w:rPr>
      </w:pPr>
      <w:r w:rsidRPr="00667109">
        <w:rPr>
          <w:rFonts w:eastAsia="PMingLiU" w:cs="Arial"/>
          <w:szCs w:val="20"/>
        </w:rPr>
        <w:t xml:space="preserve">At the commencement of the package, the client (you) and the home care provider will enter into a Home Care Agreement. This sets out the basis on which services will be provided. </w:t>
      </w:r>
    </w:p>
    <w:p w14:paraId="71DDEDBE" w14:textId="77777777" w:rsidR="00601335" w:rsidRPr="00667109" w:rsidRDefault="00601335" w:rsidP="00601335">
      <w:pPr>
        <w:autoSpaceDE w:val="0"/>
        <w:autoSpaceDN w:val="0"/>
        <w:adjustRightInd w:val="0"/>
        <w:rPr>
          <w:rFonts w:eastAsia="PMingLiU" w:cs="Arial"/>
          <w:szCs w:val="20"/>
        </w:rPr>
      </w:pPr>
      <w:r w:rsidRPr="00667109">
        <w:rPr>
          <w:rFonts w:eastAsia="PMingLiU" w:cs="Arial"/>
          <w:szCs w:val="20"/>
        </w:rPr>
        <w:t xml:space="preserve">The home care provider can then claim a subsidy from the Government dependent on the level of home care package provided. </w:t>
      </w:r>
    </w:p>
    <w:p w14:paraId="69F692D3" w14:textId="77777777" w:rsidR="00601335" w:rsidRPr="00667109" w:rsidRDefault="00601335" w:rsidP="00601335">
      <w:pPr>
        <w:autoSpaceDE w:val="0"/>
        <w:autoSpaceDN w:val="0"/>
        <w:adjustRightInd w:val="0"/>
        <w:rPr>
          <w:rFonts w:eastAsia="PMingLiU" w:cs="Arial"/>
          <w:b/>
          <w:sz w:val="22"/>
          <w:szCs w:val="22"/>
        </w:rPr>
      </w:pPr>
      <w:r w:rsidRPr="00667109">
        <w:rPr>
          <w:rFonts w:eastAsia="PMingLiU" w:cs="Arial"/>
          <w:b/>
          <w:sz w:val="22"/>
          <w:szCs w:val="22"/>
        </w:rPr>
        <w:t xml:space="preserve">What is Consumer Directed Care (CDC)? </w:t>
      </w:r>
    </w:p>
    <w:p w14:paraId="336B8BC9" w14:textId="77777777" w:rsidR="00601335" w:rsidRPr="00667109" w:rsidRDefault="00601335" w:rsidP="00601335">
      <w:pPr>
        <w:autoSpaceDE w:val="0"/>
        <w:autoSpaceDN w:val="0"/>
        <w:adjustRightInd w:val="0"/>
        <w:rPr>
          <w:rFonts w:eastAsia="PMingLiU" w:cs="Arial"/>
          <w:szCs w:val="20"/>
        </w:rPr>
      </w:pPr>
      <w:r w:rsidRPr="00667109">
        <w:rPr>
          <w:rFonts w:eastAsia="PMingLiU" w:cs="Arial"/>
          <w:szCs w:val="20"/>
        </w:rPr>
        <w:t xml:space="preserve">Consumer Directed Care, or self-directed care, allows older people and their carers to make choices about the types of care services they receive and the delivery of those services, including who delivers the services and when. </w:t>
      </w:r>
    </w:p>
    <w:p w14:paraId="3FDE5D69" w14:textId="77777777" w:rsidR="00601335" w:rsidRPr="00667109" w:rsidRDefault="00601335" w:rsidP="00601335">
      <w:pPr>
        <w:autoSpaceDE w:val="0"/>
        <w:autoSpaceDN w:val="0"/>
        <w:adjustRightInd w:val="0"/>
        <w:rPr>
          <w:rFonts w:eastAsia="PMingLiU" w:cs="Arial"/>
          <w:szCs w:val="20"/>
        </w:rPr>
      </w:pPr>
      <w:r w:rsidRPr="00667109">
        <w:rPr>
          <w:rFonts w:eastAsia="PMingLiU" w:cs="Arial"/>
          <w:szCs w:val="20"/>
        </w:rPr>
        <w:lastRenderedPageBreak/>
        <w:t xml:space="preserve">Clients receive an individualised budget and a monthly statement of income and expenditure to provide transparency about the level of funding and how the funds are spent. </w:t>
      </w:r>
    </w:p>
    <w:p w14:paraId="50B2523F" w14:textId="77777777" w:rsidR="00601335" w:rsidRPr="00667109" w:rsidRDefault="00601335" w:rsidP="00601335">
      <w:pPr>
        <w:autoSpaceDE w:val="0"/>
        <w:autoSpaceDN w:val="0"/>
        <w:adjustRightInd w:val="0"/>
        <w:rPr>
          <w:rFonts w:eastAsia="PMingLiU" w:cs="Arial"/>
          <w:b/>
          <w:bCs/>
          <w:sz w:val="22"/>
          <w:szCs w:val="22"/>
        </w:rPr>
      </w:pPr>
      <w:r w:rsidRPr="00667109">
        <w:rPr>
          <w:rFonts w:eastAsia="PMingLiU" w:cs="Arial"/>
          <w:b/>
          <w:bCs/>
          <w:sz w:val="22"/>
          <w:szCs w:val="22"/>
        </w:rPr>
        <w:t xml:space="preserve">Accessing Home Care packages </w:t>
      </w:r>
    </w:p>
    <w:p w14:paraId="640A1134" w14:textId="77777777" w:rsidR="00601335" w:rsidRPr="00667109" w:rsidRDefault="00601335" w:rsidP="00601335">
      <w:pPr>
        <w:autoSpaceDE w:val="0"/>
        <w:autoSpaceDN w:val="0"/>
        <w:adjustRightInd w:val="0"/>
        <w:rPr>
          <w:rFonts w:eastAsia="PMingLiU" w:cs="Arial"/>
          <w:szCs w:val="20"/>
        </w:rPr>
      </w:pPr>
      <w:r w:rsidRPr="00667109">
        <w:rPr>
          <w:rFonts w:eastAsia="PMingLiU" w:cs="Arial"/>
          <w:szCs w:val="20"/>
        </w:rPr>
        <w:t xml:space="preserve">Home care information is available through the My Aged Care website at </w:t>
      </w:r>
      <w:r w:rsidRPr="0055444C">
        <w:rPr>
          <w:rStyle w:val="Hyperlink"/>
        </w:rPr>
        <w:t>www.myagedcare.gov.au</w:t>
      </w:r>
      <w:r w:rsidRPr="00667109">
        <w:rPr>
          <w:rFonts w:eastAsia="PMingLiU" w:cs="Arial"/>
          <w:szCs w:val="20"/>
        </w:rPr>
        <w:t xml:space="preserve"> or the national contact centre on 1800 200 422. </w:t>
      </w:r>
    </w:p>
    <w:p w14:paraId="7142DB51" w14:textId="77777777" w:rsidR="00601335" w:rsidRPr="00027F9B" w:rsidRDefault="00601335" w:rsidP="00601335">
      <w:pPr>
        <w:rPr>
          <w:rFonts w:eastAsia="PMingLiU" w:cs="Arial"/>
          <w:szCs w:val="20"/>
        </w:rPr>
      </w:pPr>
      <w:r>
        <w:rPr>
          <w:rFonts w:eastAsia="PMingLiU" w:cs="Arial"/>
          <w:szCs w:val="20"/>
        </w:rPr>
        <w:t xml:space="preserve">Home Care packages are allocated to clients through </w:t>
      </w:r>
      <w:r w:rsidRPr="00667109">
        <w:t>‘My Aged Care’.</w:t>
      </w:r>
      <w:r>
        <w:rPr>
          <w:rFonts w:eastAsia="PMingLiU" w:cs="Arial"/>
          <w:szCs w:val="20"/>
        </w:rPr>
        <w:t xml:space="preserve"> Once a package is allocated, you will be able </w:t>
      </w:r>
      <w:r w:rsidRPr="00027F9B">
        <w:rPr>
          <w:rFonts w:eastAsia="PMingLiU" w:cs="Arial"/>
          <w:szCs w:val="20"/>
        </w:rPr>
        <w:t xml:space="preserve">to choose </w:t>
      </w:r>
      <w:r>
        <w:rPr>
          <w:rFonts w:eastAsia="PMingLiU" w:cs="Arial"/>
          <w:szCs w:val="20"/>
        </w:rPr>
        <w:t xml:space="preserve">who provides your Home Care services and it will be easier to change providers if you move or are unhappy with the service.  </w:t>
      </w:r>
    </w:p>
    <w:p w14:paraId="2CE4B40E" w14:textId="77777777" w:rsidR="00601335" w:rsidRPr="00667109" w:rsidRDefault="00601335" w:rsidP="00601335">
      <w:pPr>
        <w:autoSpaceDE w:val="0"/>
        <w:autoSpaceDN w:val="0"/>
        <w:adjustRightInd w:val="0"/>
        <w:rPr>
          <w:rFonts w:eastAsia="PMingLiU" w:cs="Arial"/>
          <w:b/>
          <w:bCs/>
          <w:sz w:val="22"/>
          <w:szCs w:val="22"/>
        </w:rPr>
      </w:pPr>
      <w:r w:rsidRPr="00667109">
        <w:rPr>
          <w:rFonts w:eastAsia="PMingLiU" w:cs="Arial"/>
          <w:b/>
          <w:bCs/>
          <w:sz w:val="22"/>
          <w:szCs w:val="22"/>
        </w:rPr>
        <w:t xml:space="preserve">Home Care fees </w:t>
      </w:r>
    </w:p>
    <w:p w14:paraId="5CDC39DA" w14:textId="5164365A" w:rsidR="00601335" w:rsidRPr="00667109" w:rsidRDefault="00601335" w:rsidP="00601335">
      <w:pPr>
        <w:autoSpaceDE w:val="0"/>
        <w:autoSpaceDN w:val="0"/>
        <w:adjustRightInd w:val="0"/>
        <w:rPr>
          <w:rFonts w:eastAsia="PMingLiU" w:cs="Arial"/>
          <w:szCs w:val="20"/>
        </w:rPr>
      </w:pPr>
      <w:r w:rsidRPr="00667109">
        <w:rPr>
          <w:rFonts w:eastAsia="PMingLiU" w:cs="Arial"/>
          <w:szCs w:val="20"/>
        </w:rPr>
        <w:t xml:space="preserve">Clients who start receiving a home care package on or after 1 July 2014 </w:t>
      </w:r>
      <w:r w:rsidR="00DC1D4F">
        <w:rPr>
          <w:rFonts w:eastAsia="PMingLiU" w:cs="Arial"/>
          <w:szCs w:val="20"/>
        </w:rPr>
        <w:t>may</w:t>
      </w:r>
      <w:r w:rsidR="00DC1D4F" w:rsidRPr="00667109">
        <w:rPr>
          <w:rFonts w:eastAsia="PMingLiU" w:cs="Arial"/>
          <w:szCs w:val="20"/>
        </w:rPr>
        <w:t xml:space="preserve"> </w:t>
      </w:r>
      <w:r w:rsidRPr="00667109">
        <w:rPr>
          <w:rFonts w:eastAsia="PMingLiU" w:cs="Arial"/>
          <w:szCs w:val="20"/>
        </w:rPr>
        <w:t xml:space="preserve">pay a basic daily care fee and an ‘income tested fee’ administered by </w:t>
      </w:r>
      <w:r w:rsidR="0028774F">
        <w:rPr>
          <w:rFonts w:eastAsia="PMingLiU" w:cs="Arial"/>
          <w:szCs w:val="20"/>
        </w:rPr>
        <w:t>Services Australia (for veterans, Department of Veteran’s Affairs)</w:t>
      </w:r>
      <w:r w:rsidRPr="00667109">
        <w:rPr>
          <w:rFonts w:eastAsia="PMingLiU" w:cs="Arial"/>
          <w:szCs w:val="20"/>
        </w:rPr>
        <w:t xml:space="preserve">. </w:t>
      </w:r>
    </w:p>
    <w:p w14:paraId="07A445F4" w14:textId="77777777" w:rsidR="00601335" w:rsidRPr="00667109" w:rsidRDefault="00601335" w:rsidP="00601335">
      <w:pPr>
        <w:autoSpaceDE w:val="0"/>
        <w:autoSpaceDN w:val="0"/>
        <w:adjustRightInd w:val="0"/>
        <w:rPr>
          <w:rFonts w:eastAsia="PMingLiU" w:cs="Arial"/>
          <w:szCs w:val="20"/>
        </w:rPr>
      </w:pPr>
      <w:r w:rsidRPr="00667109">
        <w:rPr>
          <w:rFonts w:eastAsia="PMingLiU" w:cs="Arial"/>
          <w:szCs w:val="20"/>
        </w:rPr>
        <w:t xml:space="preserve">An income tested fee is payable where the client’s assessable income exceeds the income free area. The amount of income tested fee payable cannot exceed the actual cost of care. </w:t>
      </w:r>
    </w:p>
    <w:p w14:paraId="441C4861" w14:textId="77777777" w:rsidR="00601335" w:rsidRPr="00667109" w:rsidRDefault="00601335" w:rsidP="00601335">
      <w:pPr>
        <w:autoSpaceDE w:val="0"/>
        <w:autoSpaceDN w:val="0"/>
        <w:adjustRightInd w:val="0"/>
        <w:rPr>
          <w:rFonts w:eastAsia="PMingLiU" w:cs="Arial"/>
          <w:szCs w:val="20"/>
        </w:rPr>
      </w:pPr>
      <w:r w:rsidRPr="00667109">
        <w:rPr>
          <w:rFonts w:eastAsia="PMingLiU" w:cs="Arial"/>
          <w:szCs w:val="20"/>
        </w:rPr>
        <w:t xml:space="preserve">Assessable income is calculated under the Centrelink / DVA rules and includes the amount of Age or Service Pension payable (less minimum pension and energy supplements). </w:t>
      </w:r>
    </w:p>
    <w:p w14:paraId="1F398453" w14:textId="5ED5AC57" w:rsidR="0086784D" w:rsidRPr="00667109" w:rsidRDefault="0086784D" w:rsidP="0086784D">
      <w:pPr>
        <w:autoSpaceDE w:val="0"/>
        <w:autoSpaceDN w:val="0"/>
        <w:adjustRightInd w:val="0"/>
        <w:rPr>
          <w:rFonts w:eastAsia="PMingLiU" w:cs="Arial"/>
          <w:szCs w:val="20"/>
        </w:rPr>
      </w:pPr>
      <w:r w:rsidRPr="00667109">
        <w:rPr>
          <w:rFonts w:eastAsia="PMingLiU" w:cs="Arial"/>
          <w:szCs w:val="20"/>
        </w:rPr>
        <w:t xml:space="preserve">The income tested fee is calculated as 50% of assessable income over the income free area of </w:t>
      </w:r>
      <w:r>
        <w:rPr>
          <w:rFonts w:eastAsia="PMingLiU" w:cs="Arial"/>
          <w:szCs w:val="20"/>
        </w:rPr>
        <w:t>$</w:t>
      </w:r>
      <w:r w:rsidR="00665F49">
        <w:rPr>
          <w:rFonts w:eastAsia="PMingLiU" w:cs="Arial"/>
          <w:szCs w:val="20"/>
        </w:rPr>
        <w:t>3</w:t>
      </w:r>
      <w:r w:rsidR="000D6D7B">
        <w:rPr>
          <w:rFonts w:eastAsia="PMingLiU" w:cs="Arial"/>
          <w:szCs w:val="20"/>
        </w:rPr>
        <w:t>2,331</w:t>
      </w:r>
      <w:r>
        <w:rPr>
          <w:rFonts w:eastAsia="PMingLiU" w:cs="Arial"/>
          <w:szCs w:val="20"/>
        </w:rPr>
        <w:t xml:space="preserve"> </w:t>
      </w:r>
      <w:r w:rsidRPr="00667109">
        <w:rPr>
          <w:rFonts w:eastAsia="PMingLiU" w:cs="Arial"/>
          <w:szCs w:val="20"/>
        </w:rPr>
        <w:t xml:space="preserve">(singles) or </w:t>
      </w:r>
      <w:r>
        <w:rPr>
          <w:rFonts w:eastAsia="PMingLiU" w:cs="Arial"/>
          <w:szCs w:val="20"/>
        </w:rPr>
        <w:t>$</w:t>
      </w:r>
      <w:r>
        <w:t>2</w:t>
      </w:r>
      <w:r w:rsidR="000D6D7B">
        <w:t>5,053.60</w:t>
      </w:r>
      <w:r w:rsidRPr="00667109">
        <w:rPr>
          <w:rFonts w:eastAsia="PMingLiU" w:cs="Arial"/>
          <w:szCs w:val="20"/>
        </w:rPr>
        <w:t xml:space="preserve"> (member of a couple, living together) or </w:t>
      </w:r>
      <w:r>
        <w:rPr>
          <w:rFonts w:eastAsia="PMingLiU" w:cs="Arial"/>
          <w:szCs w:val="20"/>
        </w:rPr>
        <w:t>$</w:t>
      </w:r>
      <w:r w:rsidR="00DC1D4F">
        <w:t>3</w:t>
      </w:r>
      <w:r w:rsidR="000D6D7B">
        <w:t>1,707</w:t>
      </w:r>
      <w:r>
        <w:t xml:space="preserve"> </w:t>
      </w:r>
      <w:r w:rsidRPr="00667109">
        <w:rPr>
          <w:rFonts w:eastAsia="PMingLiU" w:cs="Arial"/>
          <w:szCs w:val="20"/>
        </w:rPr>
        <w:t xml:space="preserve">(member of a couple, living separately). </w:t>
      </w:r>
    </w:p>
    <w:p w14:paraId="178A3605" w14:textId="77777777" w:rsidR="00601335" w:rsidRPr="00667109" w:rsidRDefault="00601335" w:rsidP="00601335">
      <w:pPr>
        <w:autoSpaceDE w:val="0"/>
        <w:autoSpaceDN w:val="0"/>
        <w:adjustRightInd w:val="0"/>
        <w:rPr>
          <w:rFonts w:eastAsia="PMingLiU" w:cs="Arial"/>
          <w:szCs w:val="20"/>
        </w:rPr>
      </w:pPr>
      <w:r w:rsidRPr="00667109">
        <w:rPr>
          <w:rFonts w:eastAsia="PMingLiU" w:cs="Arial"/>
          <w:szCs w:val="20"/>
        </w:rPr>
        <w:t xml:space="preserve">The income tested fee is capped at: </w:t>
      </w:r>
    </w:p>
    <w:p w14:paraId="2C4712B8" w14:textId="46416789" w:rsidR="00601335" w:rsidRPr="00667109" w:rsidRDefault="00601335" w:rsidP="00280FEF">
      <w:pPr>
        <w:numPr>
          <w:ilvl w:val="0"/>
          <w:numId w:val="28"/>
        </w:numPr>
        <w:autoSpaceDE w:val="0"/>
        <w:autoSpaceDN w:val="0"/>
        <w:adjustRightInd w:val="0"/>
        <w:spacing w:before="0" w:line="240" w:lineRule="auto"/>
        <w:rPr>
          <w:rFonts w:eastAsia="PMingLiU" w:cs="Arial"/>
          <w:szCs w:val="20"/>
        </w:rPr>
      </w:pPr>
      <w:r>
        <w:rPr>
          <w:rFonts w:eastAsia="PMingLiU" w:cs="Arial"/>
          <w:szCs w:val="20"/>
        </w:rPr>
        <w:t>$</w:t>
      </w:r>
      <w:r w:rsidR="00665F49">
        <w:rPr>
          <w:rFonts w:eastAsia="PMingLiU" w:cs="Arial"/>
          <w:szCs w:val="20"/>
        </w:rPr>
        <w:t>6,</w:t>
      </w:r>
      <w:r w:rsidR="00F81FE8">
        <w:rPr>
          <w:rFonts w:eastAsia="PMingLiU" w:cs="Arial"/>
          <w:szCs w:val="20"/>
        </w:rPr>
        <w:t>543.66</w:t>
      </w:r>
      <w:r w:rsidR="0084578A">
        <w:rPr>
          <w:rFonts w:eastAsia="PMingLiU" w:cs="Arial"/>
          <w:szCs w:val="20"/>
        </w:rPr>
        <w:t xml:space="preserve"> p.a.</w:t>
      </w:r>
      <w:r w:rsidRPr="00667109">
        <w:rPr>
          <w:rFonts w:eastAsia="PMingLiU" w:cs="Arial"/>
          <w:szCs w:val="20"/>
        </w:rPr>
        <w:t xml:space="preserve"> for part-pensioners </w:t>
      </w:r>
    </w:p>
    <w:p w14:paraId="3DA5D976" w14:textId="38625393" w:rsidR="00601335" w:rsidRPr="00667109" w:rsidRDefault="00601335" w:rsidP="00280FEF">
      <w:pPr>
        <w:numPr>
          <w:ilvl w:val="0"/>
          <w:numId w:val="28"/>
        </w:numPr>
        <w:autoSpaceDE w:val="0"/>
        <w:autoSpaceDN w:val="0"/>
        <w:adjustRightInd w:val="0"/>
        <w:spacing w:before="0" w:line="240" w:lineRule="auto"/>
        <w:rPr>
          <w:rFonts w:eastAsia="PMingLiU" w:cs="Arial"/>
          <w:szCs w:val="20"/>
        </w:rPr>
      </w:pPr>
      <w:r>
        <w:rPr>
          <w:rFonts w:eastAsia="PMingLiU" w:cs="Arial"/>
          <w:szCs w:val="20"/>
        </w:rPr>
        <w:t>$</w:t>
      </w:r>
      <w:r w:rsidR="00280FEF" w:rsidRPr="00280FEF">
        <w:rPr>
          <w:rFonts w:eastAsia="PMingLiU" w:cs="Arial"/>
          <w:szCs w:val="20"/>
        </w:rPr>
        <w:t>1</w:t>
      </w:r>
      <w:r w:rsidR="00F81FE8">
        <w:rPr>
          <w:rFonts w:eastAsia="PMingLiU" w:cs="Arial"/>
          <w:szCs w:val="20"/>
        </w:rPr>
        <w:t>3,087.39</w:t>
      </w:r>
      <w:r w:rsidR="0084578A">
        <w:rPr>
          <w:rFonts w:eastAsia="PMingLiU" w:cs="Arial"/>
          <w:szCs w:val="20"/>
        </w:rPr>
        <w:t xml:space="preserve"> p.a. </w:t>
      </w:r>
      <w:r w:rsidRPr="00667109">
        <w:rPr>
          <w:rFonts w:eastAsia="PMingLiU" w:cs="Arial"/>
          <w:szCs w:val="20"/>
        </w:rPr>
        <w:t xml:space="preserve">for self-funded retirees </w:t>
      </w:r>
    </w:p>
    <w:p w14:paraId="1E945BAF" w14:textId="2F2CFEBA" w:rsidR="00601335" w:rsidRPr="00667109" w:rsidRDefault="00601335" w:rsidP="00280FEF">
      <w:pPr>
        <w:numPr>
          <w:ilvl w:val="0"/>
          <w:numId w:val="28"/>
        </w:numPr>
        <w:autoSpaceDE w:val="0"/>
        <w:autoSpaceDN w:val="0"/>
        <w:adjustRightInd w:val="0"/>
        <w:spacing w:before="0" w:line="240" w:lineRule="auto"/>
        <w:rPr>
          <w:rFonts w:eastAsia="PMingLiU" w:cs="Arial"/>
          <w:szCs w:val="20"/>
        </w:rPr>
      </w:pPr>
      <w:r w:rsidRPr="00667109">
        <w:rPr>
          <w:rFonts w:eastAsia="PMingLiU" w:cs="Arial"/>
          <w:szCs w:val="20"/>
        </w:rPr>
        <w:t xml:space="preserve">Lifetime cap of </w:t>
      </w:r>
      <w:r>
        <w:rPr>
          <w:rFonts w:eastAsia="PMingLiU" w:cs="Arial"/>
          <w:szCs w:val="20"/>
        </w:rPr>
        <w:t>$</w:t>
      </w:r>
      <w:r w:rsidR="00CE32D2">
        <w:rPr>
          <w:rFonts w:eastAsia="PMingLiU" w:cs="Arial"/>
          <w:szCs w:val="20"/>
        </w:rPr>
        <w:t>7</w:t>
      </w:r>
      <w:r w:rsidR="00F81FE8">
        <w:rPr>
          <w:rFonts w:eastAsia="PMingLiU" w:cs="Arial"/>
          <w:szCs w:val="20"/>
        </w:rPr>
        <w:t>8,524.69</w:t>
      </w:r>
      <w:r w:rsidR="0084578A">
        <w:rPr>
          <w:rFonts w:eastAsia="PMingLiU" w:cs="Arial"/>
          <w:szCs w:val="20"/>
        </w:rPr>
        <w:t xml:space="preserve"> </w:t>
      </w:r>
    </w:p>
    <w:p w14:paraId="3C8E1DEB" w14:textId="00BD0B37" w:rsidR="00601335" w:rsidRPr="00667109" w:rsidRDefault="00601335" w:rsidP="00601335">
      <w:pPr>
        <w:autoSpaceDE w:val="0"/>
        <w:autoSpaceDN w:val="0"/>
        <w:adjustRightInd w:val="0"/>
        <w:rPr>
          <w:rFonts w:eastAsia="PMingLiU" w:cs="Arial"/>
          <w:szCs w:val="20"/>
        </w:rPr>
      </w:pPr>
      <w:r w:rsidRPr="00667109">
        <w:rPr>
          <w:rFonts w:eastAsia="PMingLiU" w:cs="Arial"/>
          <w:szCs w:val="20"/>
        </w:rPr>
        <w:t xml:space="preserve">The lifetime cap applies to means tested fees across home care and residential aged care. For example, if Paul paid $40,000 in income tested fees for home care and then moved to a residential aged care facility, he would only have to pay a further </w:t>
      </w:r>
      <w:r>
        <w:rPr>
          <w:rFonts w:eastAsia="PMingLiU" w:cs="Arial"/>
          <w:szCs w:val="20"/>
        </w:rPr>
        <w:t>$</w:t>
      </w:r>
      <w:r w:rsidR="0095330F">
        <w:rPr>
          <w:rFonts w:eastAsia="PMingLiU" w:cs="Arial"/>
          <w:szCs w:val="20"/>
        </w:rPr>
        <w:t>3</w:t>
      </w:r>
      <w:r w:rsidR="00F81FE8">
        <w:rPr>
          <w:rFonts w:eastAsia="PMingLiU" w:cs="Arial"/>
          <w:szCs w:val="20"/>
        </w:rPr>
        <w:t>8,524.69</w:t>
      </w:r>
      <w:r>
        <w:rPr>
          <w:rFonts w:eastAsia="PMingLiU" w:cs="Arial"/>
          <w:szCs w:val="20"/>
        </w:rPr>
        <w:t xml:space="preserve"> </w:t>
      </w:r>
      <w:r w:rsidRPr="00667109">
        <w:rPr>
          <w:rFonts w:eastAsia="PMingLiU" w:cs="Arial"/>
          <w:szCs w:val="20"/>
        </w:rPr>
        <w:t xml:space="preserve">in means tested care fees to reach the </w:t>
      </w:r>
      <w:r>
        <w:rPr>
          <w:rFonts w:eastAsia="PMingLiU" w:cs="Arial"/>
          <w:szCs w:val="20"/>
        </w:rPr>
        <w:t>$</w:t>
      </w:r>
      <w:r w:rsidR="00355138">
        <w:rPr>
          <w:rFonts w:eastAsia="PMingLiU" w:cs="Arial"/>
          <w:szCs w:val="20"/>
        </w:rPr>
        <w:t>7</w:t>
      </w:r>
      <w:r w:rsidR="00F81FE8">
        <w:rPr>
          <w:rFonts w:eastAsia="PMingLiU" w:cs="Arial"/>
          <w:szCs w:val="20"/>
        </w:rPr>
        <w:t>8,524.69</w:t>
      </w:r>
      <w:r>
        <w:rPr>
          <w:rFonts w:eastAsia="PMingLiU" w:cs="Arial"/>
          <w:szCs w:val="20"/>
        </w:rPr>
        <w:t xml:space="preserve"> </w:t>
      </w:r>
      <w:r w:rsidRPr="00667109">
        <w:rPr>
          <w:rFonts w:eastAsia="PMingLiU" w:cs="Arial"/>
          <w:szCs w:val="20"/>
        </w:rPr>
        <w:t xml:space="preserve">lifetime cap (note the lifetime cap is subject to indexation). </w:t>
      </w:r>
    </w:p>
    <w:p w14:paraId="331E95F1" w14:textId="77777777" w:rsidR="00601335" w:rsidRDefault="00601335" w:rsidP="00601335">
      <w:pPr>
        <w:autoSpaceDE w:val="0"/>
        <w:autoSpaceDN w:val="0"/>
        <w:adjustRightInd w:val="0"/>
        <w:rPr>
          <w:rFonts w:eastAsia="PMingLiU" w:cs="Arial"/>
          <w:szCs w:val="20"/>
        </w:rPr>
      </w:pPr>
      <w:r w:rsidRPr="00667109">
        <w:rPr>
          <w:rFonts w:eastAsia="PMingLiU" w:cs="Arial"/>
          <w:szCs w:val="20"/>
        </w:rPr>
        <w:t>The basic daily care fee is payable in addition to the income tested fee</w:t>
      </w:r>
      <w:r>
        <w:rPr>
          <w:rFonts w:eastAsia="PMingLiU" w:cs="Arial"/>
          <w:szCs w:val="20"/>
        </w:rPr>
        <w:t xml:space="preserve"> and is dependent on the level of care:</w:t>
      </w:r>
    </w:p>
    <w:p w14:paraId="376B02A9" w14:textId="660FC111" w:rsidR="00601335" w:rsidRPr="00135760" w:rsidRDefault="00601335" w:rsidP="00601335">
      <w:pPr>
        <w:pStyle w:val="FFbody"/>
        <w:keepNext/>
        <w:keepLines/>
        <w:numPr>
          <w:ilvl w:val="0"/>
          <w:numId w:val="24"/>
        </w:numPr>
      </w:pPr>
      <w:r>
        <w:rPr>
          <w:rFonts w:eastAsia="PMingLiU" w:cs="Arial"/>
          <w:szCs w:val="20"/>
          <w:lang w:val="en-AU"/>
        </w:rPr>
        <w:t>Level 1: $</w:t>
      </w:r>
      <w:r w:rsidR="00665F49">
        <w:rPr>
          <w:rFonts w:eastAsia="PMingLiU" w:cs="Arial"/>
          <w:szCs w:val="20"/>
          <w:lang w:val="en-AU"/>
        </w:rPr>
        <w:t>1</w:t>
      </w:r>
      <w:r w:rsidR="00F81FE8">
        <w:rPr>
          <w:rFonts w:eastAsia="PMingLiU" w:cs="Arial"/>
          <w:szCs w:val="20"/>
          <w:lang w:val="en-AU"/>
        </w:rPr>
        <w:t>1.22</w:t>
      </w:r>
      <w:r>
        <w:rPr>
          <w:rFonts w:eastAsia="PMingLiU" w:cs="Arial"/>
          <w:szCs w:val="20"/>
          <w:lang w:val="en-AU"/>
        </w:rPr>
        <w:t xml:space="preserve"> per day</w:t>
      </w:r>
    </w:p>
    <w:p w14:paraId="1F51EB82" w14:textId="056E8EB5" w:rsidR="00601335" w:rsidRPr="00135760" w:rsidRDefault="00601335" w:rsidP="00601335">
      <w:pPr>
        <w:pStyle w:val="FFbody"/>
        <w:keepNext/>
        <w:keepLines/>
        <w:numPr>
          <w:ilvl w:val="0"/>
          <w:numId w:val="24"/>
        </w:numPr>
      </w:pPr>
      <w:r>
        <w:rPr>
          <w:rFonts w:eastAsia="PMingLiU" w:cs="Arial"/>
          <w:szCs w:val="20"/>
          <w:lang w:val="en-AU"/>
        </w:rPr>
        <w:t>Level 2: $</w:t>
      </w:r>
      <w:r w:rsidR="00280FEF">
        <w:rPr>
          <w:rFonts w:eastAsia="PMingLiU" w:cs="Arial"/>
          <w:szCs w:val="20"/>
          <w:lang w:val="en-AU"/>
        </w:rPr>
        <w:t>1</w:t>
      </w:r>
      <w:r w:rsidR="00665F49">
        <w:rPr>
          <w:rFonts w:eastAsia="PMingLiU" w:cs="Arial"/>
          <w:szCs w:val="20"/>
          <w:lang w:val="en-AU"/>
        </w:rPr>
        <w:t>1.</w:t>
      </w:r>
      <w:r w:rsidR="00F81FE8">
        <w:rPr>
          <w:rFonts w:eastAsia="PMingLiU" w:cs="Arial"/>
          <w:szCs w:val="20"/>
          <w:lang w:val="en-AU"/>
        </w:rPr>
        <w:t>87</w:t>
      </w:r>
      <w:r>
        <w:rPr>
          <w:rFonts w:eastAsia="PMingLiU" w:cs="Arial"/>
          <w:szCs w:val="20"/>
          <w:lang w:val="en-AU"/>
        </w:rPr>
        <w:t xml:space="preserve"> per day</w:t>
      </w:r>
    </w:p>
    <w:p w14:paraId="24C49319" w14:textId="3737E5F5" w:rsidR="00601335" w:rsidRPr="00135760" w:rsidRDefault="00601335" w:rsidP="00601335">
      <w:pPr>
        <w:pStyle w:val="FFbody"/>
        <w:keepNext/>
        <w:keepLines/>
        <w:numPr>
          <w:ilvl w:val="0"/>
          <w:numId w:val="24"/>
        </w:numPr>
      </w:pPr>
      <w:r>
        <w:rPr>
          <w:rFonts w:eastAsia="PMingLiU" w:cs="Arial"/>
          <w:szCs w:val="20"/>
          <w:lang w:val="en-AU"/>
        </w:rPr>
        <w:t>Level 3: $1</w:t>
      </w:r>
      <w:r w:rsidR="00F81FE8">
        <w:rPr>
          <w:rFonts w:eastAsia="PMingLiU" w:cs="Arial"/>
          <w:szCs w:val="20"/>
          <w:lang w:val="en-AU"/>
        </w:rPr>
        <w:t>2.20</w:t>
      </w:r>
      <w:r>
        <w:rPr>
          <w:rFonts w:eastAsia="PMingLiU" w:cs="Arial"/>
          <w:szCs w:val="20"/>
          <w:lang w:val="en-AU"/>
        </w:rPr>
        <w:t xml:space="preserve"> per day</w:t>
      </w:r>
    </w:p>
    <w:p w14:paraId="244BFAC1" w14:textId="767DCA62" w:rsidR="00601335" w:rsidRDefault="00601335" w:rsidP="00601335">
      <w:pPr>
        <w:pStyle w:val="FFbody"/>
        <w:keepNext/>
        <w:keepLines/>
        <w:numPr>
          <w:ilvl w:val="0"/>
          <w:numId w:val="24"/>
        </w:numPr>
        <w:rPr>
          <w:rFonts w:eastAsia="PMingLiU" w:cs="Arial"/>
          <w:szCs w:val="20"/>
        </w:rPr>
      </w:pPr>
      <w:r>
        <w:rPr>
          <w:rFonts w:eastAsia="PMingLiU" w:cs="Arial"/>
          <w:szCs w:val="20"/>
          <w:lang w:val="en-AU"/>
        </w:rPr>
        <w:t>Level 4: $1</w:t>
      </w:r>
      <w:r w:rsidR="00DC1D4F">
        <w:rPr>
          <w:rFonts w:eastAsia="PMingLiU" w:cs="Arial"/>
          <w:szCs w:val="20"/>
          <w:lang w:val="en-AU"/>
        </w:rPr>
        <w:t>2.</w:t>
      </w:r>
      <w:r w:rsidR="00F81FE8">
        <w:rPr>
          <w:rFonts w:eastAsia="PMingLiU" w:cs="Arial"/>
          <w:szCs w:val="20"/>
          <w:lang w:val="en-AU"/>
        </w:rPr>
        <w:t>53</w:t>
      </w:r>
      <w:r>
        <w:rPr>
          <w:rFonts w:eastAsia="PMingLiU" w:cs="Arial"/>
          <w:szCs w:val="20"/>
          <w:lang w:val="en-AU"/>
        </w:rPr>
        <w:t xml:space="preserve"> per day.</w:t>
      </w:r>
    </w:p>
    <w:p w14:paraId="11DF7B55" w14:textId="77777777" w:rsidR="00601335" w:rsidRPr="008E276F" w:rsidRDefault="00601335" w:rsidP="00601335">
      <w:pPr>
        <w:pStyle w:val="FFbody"/>
        <w:spacing w:before="120"/>
        <w:rPr>
          <w:rFonts w:asciiTheme="minorHAnsi" w:hAnsiTheme="minorHAnsi"/>
          <w:b/>
          <w:color w:val="333F48" w:themeColor="accent1"/>
          <w:sz w:val="28"/>
          <w:szCs w:val="28"/>
          <w:lang w:val="en-AU" w:eastAsia="en-US"/>
        </w:rPr>
      </w:pPr>
      <w:r w:rsidRPr="0045576E">
        <w:rPr>
          <w:rFonts w:eastAsia="PMingLiU" w:cs="Arial"/>
          <w:szCs w:val="20"/>
        </w:rPr>
        <w:t xml:space="preserve"> </w:t>
      </w:r>
      <w:r>
        <w:rPr>
          <w:rFonts w:eastAsia="PMingLiU" w:cs="Arial"/>
          <w:szCs w:val="20"/>
        </w:rPr>
        <w:br/>
      </w:r>
      <w:r w:rsidRPr="008E276F">
        <w:rPr>
          <w:rFonts w:asciiTheme="minorHAnsi" w:hAnsiTheme="minorHAnsi"/>
          <w:b/>
          <w:color w:val="333F48" w:themeColor="accent1"/>
          <w:sz w:val="28"/>
          <w:szCs w:val="28"/>
          <w:lang w:val="en-AU" w:eastAsia="en-US"/>
        </w:rPr>
        <w:t xml:space="preserve">Residential Aged Care </w:t>
      </w:r>
    </w:p>
    <w:p w14:paraId="458B2EB7" w14:textId="77777777" w:rsidR="00601335" w:rsidRDefault="00601335" w:rsidP="00601335">
      <w:pPr>
        <w:pStyle w:val="FFbody"/>
        <w:rPr>
          <w:lang w:val="en-AU"/>
        </w:rPr>
      </w:pPr>
      <w:r w:rsidRPr="00FE3D7A">
        <w:t>If you or a family member can no longer manage to live independently at home, you may need to consider moving into residential aged care. Before you do, there are many factors to consider, including your eligibility, the costs involved and the effect on your finances and lifestyle.</w:t>
      </w:r>
    </w:p>
    <w:p w14:paraId="078BFD39" w14:textId="77777777" w:rsidR="00601335" w:rsidRPr="006F583A" w:rsidRDefault="00601335" w:rsidP="00601335">
      <w:pPr>
        <w:pStyle w:val="FFbody"/>
        <w:rPr>
          <w:lang w:val="en-AU"/>
        </w:rPr>
      </w:pPr>
      <w:r>
        <w:rPr>
          <w:rFonts w:asciiTheme="minorHAnsi" w:eastAsia="PMingLiU" w:hAnsiTheme="minorHAnsi" w:cs="Arial"/>
          <w:b/>
          <w:sz w:val="22"/>
          <w:szCs w:val="22"/>
          <w:lang w:val="en-AU" w:eastAsia="en-US"/>
        </w:rPr>
        <w:br/>
      </w:r>
      <w:r w:rsidRPr="008E276F">
        <w:rPr>
          <w:rFonts w:asciiTheme="minorHAnsi" w:eastAsia="PMingLiU" w:hAnsiTheme="minorHAnsi" w:cs="Arial"/>
          <w:b/>
          <w:sz w:val="22"/>
          <w:szCs w:val="22"/>
          <w:lang w:val="en-AU" w:eastAsia="en-US"/>
        </w:rPr>
        <w:t>What care and services are provided?</w:t>
      </w:r>
    </w:p>
    <w:p w14:paraId="207E25E9" w14:textId="77777777" w:rsidR="00601335" w:rsidRDefault="00601335" w:rsidP="00601335">
      <w:pPr>
        <w:pStyle w:val="FFbody"/>
        <w:keepNext/>
        <w:keepLines/>
      </w:pPr>
      <w:r>
        <w:t>All aged care homes must provide a specified range of care and services to residents, according to their individual needs. These services include:</w:t>
      </w:r>
    </w:p>
    <w:p w14:paraId="228129F2" w14:textId="77777777" w:rsidR="00601335" w:rsidRDefault="00601335" w:rsidP="00601335">
      <w:pPr>
        <w:pStyle w:val="FFbody"/>
        <w:keepNext/>
        <w:keepLines/>
        <w:numPr>
          <w:ilvl w:val="0"/>
          <w:numId w:val="24"/>
        </w:numPr>
      </w:pPr>
      <w:r>
        <w:t>appropriate staffing to meet the nursing and personal needs of residents</w:t>
      </w:r>
    </w:p>
    <w:p w14:paraId="5032FBA2" w14:textId="77777777" w:rsidR="00601335" w:rsidRDefault="00601335" w:rsidP="00601335">
      <w:pPr>
        <w:pStyle w:val="FFbody"/>
        <w:keepNext/>
        <w:keepLines/>
        <w:numPr>
          <w:ilvl w:val="0"/>
          <w:numId w:val="24"/>
        </w:numPr>
      </w:pPr>
      <w:r>
        <w:t>assistance with daily living activities such as bathing, showering and dressing</w:t>
      </w:r>
    </w:p>
    <w:p w14:paraId="4EEC6412" w14:textId="77777777" w:rsidR="00601335" w:rsidRDefault="00601335" w:rsidP="00601335">
      <w:pPr>
        <w:pStyle w:val="FFbody"/>
        <w:keepNext/>
        <w:keepLines/>
        <w:numPr>
          <w:ilvl w:val="0"/>
          <w:numId w:val="24"/>
        </w:numPr>
      </w:pPr>
      <w:r>
        <w:t>assistance with medications</w:t>
      </w:r>
    </w:p>
    <w:p w14:paraId="5DC7E7CB" w14:textId="77777777" w:rsidR="00601335" w:rsidRDefault="00601335" w:rsidP="00601335">
      <w:pPr>
        <w:pStyle w:val="FFbody"/>
        <w:keepNext/>
        <w:keepLines/>
        <w:numPr>
          <w:ilvl w:val="0"/>
          <w:numId w:val="24"/>
        </w:numPr>
      </w:pPr>
      <w:r>
        <w:t>meals</w:t>
      </w:r>
      <w:r w:rsidRPr="00EF4F5E">
        <w:rPr>
          <w:rFonts w:cs="Arial"/>
          <w:szCs w:val="20"/>
          <w:lang w:val="en-AU"/>
        </w:rPr>
        <w:t xml:space="preserve"> </w:t>
      </w:r>
      <w:r w:rsidRPr="00F4685E">
        <w:rPr>
          <w:rFonts w:cs="Arial"/>
          <w:szCs w:val="20"/>
          <w:lang w:val="en-AU"/>
        </w:rPr>
        <w:t>and social activities</w:t>
      </w:r>
    </w:p>
    <w:p w14:paraId="59144E1B" w14:textId="77777777" w:rsidR="00601335" w:rsidRDefault="00601335" w:rsidP="00601335">
      <w:pPr>
        <w:pStyle w:val="FFbody"/>
        <w:keepNext/>
        <w:keepLines/>
        <w:numPr>
          <w:ilvl w:val="0"/>
          <w:numId w:val="24"/>
        </w:numPr>
      </w:pPr>
      <w:r>
        <w:t>basic furnishings</w:t>
      </w:r>
    </w:p>
    <w:p w14:paraId="7B054935" w14:textId="77777777" w:rsidR="00601335" w:rsidRDefault="00601335" w:rsidP="00601335">
      <w:pPr>
        <w:pStyle w:val="FFbody"/>
        <w:keepNext/>
        <w:keepLines/>
        <w:numPr>
          <w:ilvl w:val="0"/>
          <w:numId w:val="24"/>
        </w:numPr>
      </w:pPr>
      <w:r>
        <w:t>laundry and cleaning services</w:t>
      </w:r>
    </w:p>
    <w:p w14:paraId="14D66992" w14:textId="77777777" w:rsidR="00601335" w:rsidRDefault="00601335" w:rsidP="00601335">
      <w:pPr>
        <w:pStyle w:val="FFbody"/>
        <w:keepNext/>
        <w:keepLines/>
        <w:numPr>
          <w:ilvl w:val="0"/>
          <w:numId w:val="24"/>
        </w:numPr>
      </w:pPr>
      <w:r>
        <w:t>maintenance of buildings and grounds</w:t>
      </w:r>
    </w:p>
    <w:p w14:paraId="009CCE80" w14:textId="77777777" w:rsidR="00601335" w:rsidRDefault="00601335" w:rsidP="00601335">
      <w:pPr>
        <w:pStyle w:val="FFbody"/>
        <w:keepNext/>
        <w:keepLines/>
      </w:pPr>
      <w:r>
        <w:t>For residents with high</w:t>
      </w:r>
      <w:r>
        <w:rPr>
          <w:lang w:val="en-AU"/>
        </w:rPr>
        <w:t>er</w:t>
      </w:r>
      <w:r>
        <w:t xml:space="preserve"> care needs, services will also include the provision of special medical equipment, such as wheelchairs, basic medical and pharmaceutical supplies, nursing and therapy services.</w:t>
      </w:r>
    </w:p>
    <w:p w14:paraId="1AAAAA6B" w14:textId="77777777" w:rsidR="00601335" w:rsidRDefault="00601335" w:rsidP="00601335">
      <w:pPr>
        <w:pStyle w:val="FFbody"/>
        <w:keepNext/>
        <w:keepLines/>
      </w:pPr>
      <w:r>
        <w:t xml:space="preserve">While some aged care homes specialise in </w:t>
      </w:r>
      <w:r>
        <w:rPr>
          <w:lang w:val="en-AU"/>
        </w:rPr>
        <w:t>a particular</w:t>
      </w:r>
      <w:r>
        <w:t xml:space="preserve"> level </w:t>
      </w:r>
      <w:r>
        <w:rPr>
          <w:lang w:val="en-AU"/>
        </w:rPr>
        <w:t xml:space="preserve">of </w:t>
      </w:r>
      <w:r>
        <w:t xml:space="preserve">care, many offer </w:t>
      </w:r>
      <w:r>
        <w:rPr>
          <w:lang w:val="en-AU"/>
        </w:rPr>
        <w:t>a range of care levels</w:t>
      </w:r>
      <w:r>
        <w:t xml:space="preserve"> so that residents can stay in one location when their care needs increase.</w:t>
      </w:r>
    </w:p>
    <w:p w14:paraId="4310AAEE" w14:textId="0A6218EB" w:rsidR="00601335" w:rsidRDefault="00601335" w:rsidP="00601335">
      <w:pPr>
        <w:pStyle w:val="FFheading1"/>
        <w:rPr>
          <w:sz w:val="20"/>
        </w:rPr>
      </w:pPr>
      <w:r w:rsidRPr="008E276F">
        <w:rPr>
          <w:rFonts w:asciiTheme="minorHAnsi" w:eastAsia="PMingLiU" w:hAnsiTheme="minorHAnsi" w:cs="Arial"/>
          <w:b/>
          <w:sz w:val="22"/>
          <w:szCs w:val="22"/>
          <w:lang w:val="en-AU" w:eastAsia="en-US"/>
        </w:rPr>
        <w:t>How much does aged care cost?</w:t>
      </w:r>
      <w:r>
        <w:rPr>
          <w:rFonts w:asciiTheme="minorHAnsi" w:eastAsia="PMingLiU" w:hAnsiTheme="minorHAnsi" w:cs="Arial"/>
          <w:b/>
          <w:sz w:val="22"/>
          <w:szCs w:val="22"/>
          <w:lang w:val="en-AU" w:eastAsia="en-US"/>
        </w:rPr>
        <w:br/>
      </w:r>
      <w:r>
        <w:br/>
      </w:r>
      <w:r w:rsidRPr="00667109">
        <w:rPr>
          <w:sz w:val="20"/>
        </w:rPr>
        <w:t xml:space="preserve">While the Australian Government provides </w:t>
      </w:r>
      <w:r>
        <w:rPr>
          <w:sz w:val="20"/>
          <w:lang w:val="en-AU"/>
        </w:rPr>
        <w:t xml:space="preserve">the majority of </w:t>
      </w:r>
      <w:r w:rsidRPr="00667109">
        <w:rPr>
          <w:sz w:val="20"/>
        </w:rPr>
        <w:t>funding to residential aged care homes to assist with the costs associated with providing care, most residents will have to pay fees and charges.</w:t>
      </w:r>
      <w:r>
        <w:rPr>
          <w:sz w:val="20"/>
        </w:rPr>
        <w:br/>
      </w:r>
      <w:r>
        <w:rPr>
          <w:sz w:val="20"/>
        </w:rPr>
        <w:br/>
      </w:r>
      <w:r w:rsidR="00FC4152">
        <w:rPr>
          <w:sz w:val="20"/>
          <w:lang w:val="en-AU"/>
        </w:rPr>
        <w:t>All</w:t>
      </w:r>
      <w:r w:rsidRPr="006F583A">
        <w:rPr>
          <w:sz w:val="20"/>
        </w:rPr>
        <w:t xml:space="preserve"> aged care facilities </w:t>
      </w:r>
      <w:r>
        <w:rPr>
          <w:sz w:val="20"/>
          <w:lang w:val="en-AU"/>
        </w:rPr>
        <w:t>are</w:t>
      </w:r>
      <w:r w:rsidRPr="006F583A">
        <w:rPr>
          <w:sz w:val="20"/>
        </w:rPr>
        <w:t xml:space="preserve"> </w:t>
      </w:r>
      <w:r w:rsidR="00FC4152">
        <w:rPr>
          <w:sz w:val="20"/>
          <w:lang w:val="en-AU"/>
        </w:rPr>
        <w:t xml:space="preserve">broadly </w:t>
      </w:r>
      <w:r w:rsidRPr="006F583A">
        <w:rPr>
          <w:sz w:val="20"/>
        </w:rPr>
        <w:t>subject to the same fee structure, regardless of the level of care the resident requires.</w:t>
      </w:r>
    </w:p>
    <w:p w14:paraId="717A5056" w14:textId="77777777" w:rsidR="00601335" w:rsidRPr="006F583A" w:rsidRDefault="00601335" w:rsidP="00601335">
      <w:pPr>
        <w:pStyle w:val="FFheading1"/>
        <w:rPr>
          <w:sz w:val="20"/>
        </w:rPr>
      </w:pPr>
      <w:r w:rsidRPr="006F583A">
        <w:rPr>
          <w:sz w:val="20"/>
        </w:rPr>
        <w:t>There are two main types of fees payable for aged care:</w:t>
      </w:r>
    </w:p>
    <w:p w14:paraId="7C68F850" w14:textId="77777777" w:rsidR="00601335" w:rsidRPr="006F583A" w:rsidRDefault="00601335" w:rsidP="00601335">
      <w:pPr>
        <w:pStyle w:val="FFheading1"/>
        <w:numPr>
          <w:ilvl w:val="0"/>
          <w:numId w:val="31"/>
        </w:numPr>
        <w:rPr>
          <w:sz w:val="20"/>
        </w:rPr>
      </w:pPr>
      <w:r w:rsidRPr="006F583A">
        <w:rPr>
          <w:sz w:val="20"/>
        </w:rPr>
        <w:t>Accommodation payments</w:t>
      </w:r>
    </w:p>
    <w:p w14:paraId="620B05AE" w14:textId="77777777" w:rsidR="00601335" w:rsidRPr="006F583A" w:rsidRDefault="00601335" w:rsidP="00601335">
      <w:pPr>
        <w:pStyle w:val="FFheading1"/>
        <w:numPr>
          <w:ilvl w:val="0"/>
          <w:numId w:val="31"/>
        </w:numPr>
        <w:rPr>
          <w:sz w:val="20"/>
        </w:rPr>
      </w:pPr>
      <w:r w:rsidRPr="006F583A">
        <w:rPr>
          <w:sz w:val="20"/>
        </w:rPr>
        <w:t>Ongoing fees</w:t>
      </w:r>
    </w:p>
    <w:p w14:paraId="5BE5BE59" w14:textId="77777777" w:rsidR="00601335" w:rsidRPr="008E276F" w:rsidRDefault="00601335" w:rsidP="00601335">
      <w:pPr>
        <w:pStyle w:val="FFheading2"/>
        <w:keepNext/>
        <w:keepLines/>
        <w:spacing w:before="120" w:after="120"/>
        <w:rPr>
          <w:rFonts w:asciiTheme="minorHAnsi" w:hAnsiTheme="minorHAnsi"/>
          <w:szCs w:val="22"/>
          <w:lang w:val="en-AU" w:eastAsia="en-US"/>
        </w:rPr>
      </w:pPr>
      <w:r w:rsidRPr="008E276F">
        <w:rPr>
          <w:rFonts w:asciiTheme="minorHAnsi" w:hAnsiTheme="minorHAnsi"/>
          <w:szCs w:val="22"/>
          <w:lang w:val="en-AU" w:eastAsia="en-US"/>
        </w:rPr>
        <w:lastRenderedPageBreak/>
        <w:t>Accommodation payments</w:t>
      </w:r>
    </w:p>
    <w:p w14:paraId="17C449E1" w14:textId="77777777" w:rsidR="00601335" w:rsidRDefault="00601335" w:rsidP="00601335">
      <w:pPr>
        <w:pStyle w:val="FFbody"/>
        <w:keepNext/>
        <w:keepLines/>
        <w:rPr>
          <w:lang w:val="en-AU"/>
        </w:rPr>
      </w:pPr>
      <w:r>
        <w:t xml:space="preserve">An accommodation </w:t>
      </w:r>
      <w:r>
        <w:rPr>
          <w:lang w:val="en-AU"/>
        </w:rPr>
        <w:t>payment</w:t>
      </w:r>
      <w:r>
        <w:t xml:space="preserve"> is </w:t>
      </w:r>
      <w:r>
        <w:rPr>
          <w:lang w:val="en-AU"/>
        </w:rPr>
        <w:t>an</w:t>
      </w:r>
      <w:r>
        <w:t xml:space="preserve"> entry fee </w:t>
      </w:r>
      <w:r>
        <w:rPr>
          <w:lang w:val="en-AU"/>
        </w:rPr>
        <w:t xml:space="preserve">payable </w:t>
      </w:r>
      <w:r>
        <w:t xml:space="preserve">for </w:t>
      </w:r>
      <w:r>
        <w:rPr>
          <w:lang w:val="en-AU"/>
        </w:rPr>
        <w:t>residential aged care. It is like an interest free loan to the aged care facility.</w:t>
      </w:r>
      <w:r>
        <w:t xml:space="preserve"> The amount you </w:t>
      </w:r>
      <w:r>
        <w:rPr>
          <w:lang w:val="en-AU"/>
        </w:rPr>
        <w:t>pay as an accommodation payment</w:t>
      </w:r>
      <w:r>
        <w:t xml:space="preserve"> will depend on the facility</w:t>
      </w:r>
      <w:r>
        <w:rPr>
          <w:lang w:val="en-AU"/>
        </w:rPr>
        <w:t xml:space="preserve"> you choose to enter and is determined by a number of factors including quality of the facility, location and demand.</w:t>
      </w:r>
    </w:p>
    <w:p w14:paraId="605305A4" w14:textId="77777777" w:rsidR="00601335" w:rsidRDefault="00601335" w:rsidP="00601335">
      <w:pPr>
        <w:pStyle w:val="FFbody"/>
        <w:keepNext/>
        <w:keepLines/>
        <w:rPr>
          <w:lang w:val="en-AU"/>
        </w:rPr>
      </w:pPr>
      <w:r>
        <w:rPr>
          <w:lang w:val="en-AU"/>
        </w:rPr>
        <w:t xml:space="preserve">Aged care facilities must advertise the maximum amount of accommodation payment payable on the government’s My Aged Care website </w:t>
      </w:r>
      <w:hyperlink r:id="rId18" w:history="1">
        <w:r w:rsidRPr="00044E36">
          <w:rPr>
            <w:rStyle w:val="Hyperlink"/>
            <w:lang w:val="en-AU"/>
          </w:rPr>
          <w:t>www.myagedcare.gov.au</w:t>
        </w:r>
      </w:hyperlink>
      <w:r>
        <w:rPr>
          <w:lang w:val="en-AU"/>
        </w:rPr>
        <w:t>. This website provides details of all aged care facilities in your area as well as the facilities’ key features.</w:t>
      </w:r>
    </w:p>
    <w:p w14:paraId="6C0C5AAA" w14:textId="52C9FE66" w:rsidR="00601335" w:rsidRDefault="00601335" w:rsidP="00601335">
      <w:pPr>
        <w:pStyle w:val="FFbody"/>
        <w:keepNext/>
        <w:keepLines/>
        <w:rPr>
          <w:lang w:val="en-AU"/>
        </w:rPr>
      </w:pPr>
      <w:r>
        <w:rPr>
          <w:lang w:val="en-AU"/>
        </w:rPr>
        <w:t>An accommodation payment can be paid as a lump sum (known as a Refundable Accommodation Deposit), regular periodic payments (known as Daily Accommodation Payments) or a combination of both. In most cases, the entire lump sum balance will be refunded upon your departure from the aged care facility.</w:t>
      </w:r>
      <w:r>
        <w:t xml:space="preserve"> </w:t>
      </w:r>
    </w:p>
    <w:p w14:paraId="30FF0FCA" w14:textId="77777777" w:rsidR="00601335" w:rsidRDefault="00601335" w:rsidP="00601335">
      <w:pPr>
        <w:pStyle w:val="FFbody"/>
        <w:keepNext/>
        <w:keepLines/>
        <w:rPr>
          <w:lang w:val="en-AU"/>
        </w:rPr>
      </w:pPr>
      <w:r>
        <w:rPr>
          <w:lang w:val="en-AU"/>
        </w:rPr>
        <w:t>Protections are in place for residents who are assessed to have ‘low means’ and cannot be asked to pay the advertised accommodation payment. At the time of entry to the aged care facility, the government measures your ‘means tested amount’ and if it is less than a specified threshold, you will not have to pay the advertised accommodation payment.</w:t>
      </w:r>
    </w:p>
    <w:p w14:paraId="440D7EBE" w14:textId="77777777" w:rsidR="00601335" w:rsidRDefault="00601335" w:rsidP="00601335">
      <w:pPr>
        <w:pStyle w:val="FFbody"/>
        <w:keepNext/>
        <w:keepLines/>
        <w:rPr>
          <w:lang w:val="en-AU"/>
        </w:rPr>
      </w:pPr>
      <w:r>
        <w:rPr>
          <w:lang w:val="en-AU"/>
        </w:rPr>
        <w:t xml:space="preserve">You may however be asked to </w:t>
      </w:r>
      <w:proofErr w:type="gramStart"/>
      <w:r>
        <w:rPr>
          <w:lang w:val="en-AU"/>
        </w:rPr>
        <w:t>make a contribution</w:t>
      </w:r>
      <w:proofErr w:type="gramEnd"/>
      <w:r>
        <w:rPr>
          <w:lang w:val="en-AU"/>
        </w:rPr>
        <w:t xml:space="preserve"> towards the accommodation cost of your care known as an accommodation contribution.</w:t>
      </w:r>
    </w:p>
    <w:p w14:paraId="54C40801" w14:textId="77777777" w:rsidR="00601335" w:rsidRPr="00A02053" w:rsidRDefault="00601335" w:rsidP="00601335">
      <w:pPr>
        <w:pStyle w:val="FFbody"/>
        <w:keepNext/>
        <w:keepLines/>
        <w:rPr>
          <w:lang w:val="en-AU"/>
        </w:rPr>
      </w:pPr>
      <w:r>
        <w:rPr>
          <w:lang w:val="en-AU"/>
        </w:rPr>
        <w:t>Your means tested amount is determined by the value of your income and assets – added together.</w:t>
      </w:r>
    </w:p>
    <w:p w14:paraId="7F73E50D" w14:textId="77777777" w:rsidR="00601335" w:rsidRDefault="00601335" w:rsidP="00601335">
      <w:pPr>
        <w:pStyle w:val="FFheading2"/>
        <w:keepNext/>
        <w:keepLines/>
        <w:spacing w:before="120" w:after="120"/>
        <w:rPr>
          <w:lang w:val="en-AU"/>
        </w:rPr>
      </w:pPr>
      <w:r>
        <w:rPr>
          <w:lang w:val="en-AU"/>
        </w:rPr>
        <w:t>What is included in the means tested amount?</w:t>
      </w:r>
    </w:p>
    <w:p w14:paraId="1C2729FF" w14:textId="77777777" w:rsidR="00601335" w:rsidRDefault="00601335" w:rsidP="00601335">
      <w:pPr>
        <w:pStyle w:val="FFbody"/>
        <w:keepNext/>
        <w:keepLines/>
        <w:rPr>
          <w:lang w:val="en-AU"/>
        </w:rPr>
      </w:pPr>
      <w:r>
        <w:rPr>
          <w:lang w:val="en-AU"/>
        </w:rPr>
        <w:t>Means tested amount = income tested amount + asset tested amount</w:t>
      </w:r>
    </w:p>
    <w:p w14:paraId="2582E24C" w14:textId="77777777" w:rsidR="00601335" w:rsidRDefault="00601335" w:rsidP="00601335">
      <w:pPr>
        <w:pStyle w:val="FFheading2"/>
        <w:keepNext/>
        <w:keepLines/>
        <w:spacing w:before="120" w:after="120"/>
        <w:rPr>
          <w:lang w:val="en-AU"/>
        </w:rPr>
      </w:pPr>
      <w:r>
        <w:rPr>
          <w:lang w:val="en-AU"/>
        </w:rPr>
        <w:t>Income tested amount</w:t>
      </w:r>
    </w:p>
    <w:p w14:paraId="29303C1A" w14:textId="77777777" w:rsidR="00601335" w:rsidRDefault="00601335" w:rsidP="00601335">
      <w:pPr>
        <w:pStyle w:val="FFbody"/>
        <w:keepNext/>
        <w:keepLines/>
        <w:rPr>
          <w:lang w:val="en-AU"/>
        </w:rPr>
      </w:pPr>
      <w:r>
        <w:rPr>
          <w:lang w:val="en-AU"/>
        </w:rPr>
        <w:t>The income tested amount uses total assessable income measures. Total assessable income includes ordinary income (as assessed by Centrelink / DVA) plus:</w:t>
      </w:r>
    </w:p>
    <w:p w14:paraId="3A7E77A7" w14:textId="77777777" w:rsidR="00601335" w:rsidRPr="0053752B" w:rsidRDefault="00601335" w:rsidP="00601335">
      <w:pPr>
        <w:pStyle w:val="FFbody"/>
        <w:keepNext/>
        <w:keepLines/>
        <w:numPr>
          <w:ilvl w:val="0"/>
          <w:numId w:val="26"/>
        </w:numPr>
        <w:rPr>
          <w:szCs w:val="20"/>
          <w:lang w:val="en-AU"/>
        </w:rPr>
      </w:pPr>
      <w:r w:rsidRPr="0053752B">
        <w:rPr>
          <w:szCs w:val="20"/>
          <w:lang w:val="en-AU"/>
        </w:rPr>
        <w:t>age pension</w:t>
      </w:r>
    </w:p>
    <w:p w14:paraId="20C12314" w14:textId="77777777" w:rsidR="00601335" w:rsidRPr="0053752B" w:rsidRDefault="00601335" w:rsidP="00601335">
      <w:pPr>
        <w:pStyle w:val="FFbody"/>
        <w:keepNext/>
        <w:keepLines/>
        <w:numPr>
          <w:ilvl w:val="0"/>
          <w:numId w:val="26"/>
        </w:numPr>
        <w:ind w:left="357" w:hanging="357"/>
        <w:rPr>
          <w:szCs w:val="20"/>
          <w:lang w:val="en-AU"/>
        </w:rPr>
      </w:pPr>
      <w:r w:rsidRPr="0053752B">
        <w:rPr>
          <w:szCs w:val="20"/>
          <w:lang w:val="en-AU"/>
        </w:rPr>
        <w:t>service pension</w:t>
      </w:r>
    </w:p>
    <w:p w14:paraId="2C6B6ED7" w14:textId="77777777" w:rsidR="00601335" w:rsidRPr="0053752B" w:rsidRDefault="00601335" w:rsidP="00601335">
      <w:pPr>
        <w:pStyle w:val="FFbody"/>
        <w:keepNext/>
        <w:keepLines/>
        <w:numPr>
          <w:ilvl w:val="0"/>
          <w:numId w:val="26"/>
        </w:numPr>
        <w:rPr>
          <w:szCs w:val="20"/>
          <w:lang w:val="en-AU"/>
        </w:rPr>
      </w:pPr>
      <w:r w:rsidRPr="0053752B">
        <w:rPr>
          <w:szCs w:val="20"/>
          <w:lang w:val="en-AU"/>
        </w:rPr>
        <w:t>income support supplements</w:t>
      </w:r>
    </w:p>
    <w:p w14:paraId="3087E6E7" w14:textId="77777777" w:rsidR="00601335" w:rsidRPr="0053752B" w:rsidRDefault="00601335" w:rsidP="00601335">
      <w:pPr>
        <w:pStyle w:val="FFbody"/>
        <w:keepNext/>
        <w:keepLines/>
        <w:numPr>
          <w:ilvl w:val="0"/>
          <w:numId w:val="26"/>
        </w:numPr>
        <w:rPr>
          <w:szCs w:val="20"/>
          <w:lang w:val="en-AU"/>
        </w:rPr>
      </w:pPr>
      <w:r w:rsidRPr="0053752B">
        <w:rPr>
          <w:szCs w:val="20"/>
          <w:lang w:val="en-AU"/>
        </w:rPr>
        <w:t>other income support payments</w:t>
      </w:r>
    </w:p>
    <w:p w14:paraId="68B1F99E" w14:textId="77777777" w:rsidR="00601335" w:rsidRPr="00BF4225" w:rsidRDefault="00601335" w:rsidP="00601335">
      <w:pPr>
        <w:numPr>
          <w:ilvl w:val="0"/>
          <w:numId w:val="26"/>
        </w:numPr>
        <w:autoSpaceDE w:val="0"/>
        <w:autoSpaceDN w:val="0"/>
        <w:adjustRightInd w:val="0"/>
        <w:spacing w:before="0" w:after="0" w:line="240" w:lineRule="auto"/>
        <w:ind w:right="-20"/>
        <w:rPr>
          <w:rFonts w:cs="Arial"/>
          <w:b/>
          <w:color w:val="000000"/>
          <w:spacing w:val="-2"/>
          <w:w w:val="98"/>
          <w:szCs w:val="20"/>
        </w:rPr>
      </w:pPr>
      <w:r w:rsidRPr="0053752B">
        <w:rPr>
          <w:szCs w:val="20"/>
        </w:rPr>
        <w:t>any</w:t>
      </w:r>
      <w:r>
        <w:rPr>
          <w:szCs w:val="20"/>
        </w:rPr>
        <w:t xml:space="preserve"> </w:t>
      </w:r>
      <w:r w:rsidRPr="0053752B">
        <w:rPr>
          <w:szCs w:val="20"/>
        </w:rPr>
        <w:t xml:space="preserve">other assessable income, such as certain compensation payments, </w:t>
      </w:r>
      <w:proofErr w:type="gramStart"/>
      <w:r w:rsidRPr="0053752B">
        <w:rPr>
          <w:szCs w:val="20"/>
        </w:rPr>
        <w:t>gifts</w:t>
      </w:r>
      <w:proofErr w:type="gramEnd"/>
      <w:r w:rsidRPr="0053752B">
        <w:rPr>
          <w:szCs w:val="20"/>
        </w:rPr>
        <w:t xml:space="preserve"> and foreign pensions.</w:t>
      </w:r>
    </w:p>
    <w:p w14:paraId="7FAA62D6" w14:textId="77777777" w:rsidR="004F6DE7" w:rsidRDefault="004F6DE7" w:rsidP="00601335">
      <w:pPr>
        <w:autoSpaceDE w:val="0"/>
        <w:autoSpaceDN w:val="0"/>
        <w:adjustRightInd w:val="0"/>
        <w:rPr>
          <w:b/>
          <w:sz w:val="22"/>
          <w:szCs w:val="22"/>
        </w:rPr>
      </w:pPr>
    </w:p>
    <w:p w14:paraId="4E68698F" w14:textId="77777777" w:rsidR="004F6DE7" w:rsidRDefault="004F6DE7" w:rsidP="00601335">
      <w:pPr>
        <w:autoSpaceDE w:val="0"/>
        <w:autoSpaceDN w:val="0"/>
        <w:adjustRightInd w:val="0"/>
        <w:rPr>
          <w:b/>
          <w:sz w:val="22"/>
          <w:szCs w:val="22"/>
        </w:rPr>
      </w:pPr>
    </w:p>
    <w:p w14:paraId="07A00A77" w14:textId="77777777" w:rsidR="004F6DE7" w:rsidRDefault="004F6DE7" w:rsidP="00601335">
      <w:pPr>
        <w:autoSpaceDE w:val="0"/>
        <w:autoSpaceDN w:val="0"/>
        <w:adjustRightInd w:val="0"/>
        <w:rPr>
          <w:b/>
          <w:sz w:val="22"/>
          <w:szCs w:val="22"/>
        </w:rPr>
      </w:pPr>
    </w:p>
    <w:p w14:paraId="19F476D9" w14:textId="77777777" w:rsidR="004F6DE7" w:rsidRDefault="004F6DE7" w:rsidP="00601335">
      <w:pPr>
        <w:autoSpaceDE w:val="0"/>
        <w:autoSpaceDN w:val="0"/>
        <w:adjustRightInd w:val="0"/>
        <w:rPr>
          <w:b/>
          <w:sz w:val="22"/>
          <w:szCs w:val="22"/>
        </w:rPr>
      </w:pPr>
    </w:p>
    <w:p w14:paraId="1851B5F3" w14:textId="77777777" w:rsidR="004F6DE7" w:rsidRDefault="004F6DE7" w:rsidP="00601335">
      <w:pPr>
        <w:autoSpaceDE w:val="0"/>
        <w:autoSpaceDN w:val="0"/>
        <w:adjustRightInd w:val="0"/>
        <w:rPr>
          <w:b/>
          <w:sz w:val="22"/>
          <w:szCs w:val="22"/>
        </w:rPr>
      </w:pPr>
    </w:p>
    <w:p w14:paraId="0EC20A1A" w14:textId="52801FD3" w:rsidR="00601335" w:rsidRPr="00BF4225" w:rsidRDefault="00601335" w:rsidP="00601335">
      <w:pPr>
        <w:autoSpaceDE w:val="0"/>
        <w:autoSpaceDN w:val="0"/>
        <w:adjustRightInd w:val="0"/>
        <w:rPr>
          <w:rFonts w:cs="Arial"/>
          <w:b/>
          <w:color w:val="000000"/>
          <w:spacing w:val="-2"/>
          <w:w w:val="98"/>
          <w:sz w:val="22"/>
          <w:szCs w:val="22"/>
        </w:rPr>
      </w:pPr>
      <w:r w:rsidRPr="00BF4225">
        <w:rPr>
          <w:b/>
          <w:sz w:val="22"/>
          <w:szCs w:val="22"/>
        </w:rPr>
        <w:t>Asset tested amount</w:t>
      </w:r>
    </w:p>
    <w:p w14:paraId="450A49E8" w14:textId="77777777" w:rsidR="00601335" w:rsidRDefault="00601335" w:rsidP="00601335">
      <w:pPr>
        <w:pStyle w:val="FFheading2"/>
        <w:keepNext/>
        <w:keepLines/>
        <w:rPr>
          <w:b w:val="0"/>
          <w:sz w:val="20"/>
          <w:szCs w:val="20"/>
          <w:lang w:val="en-AU"/>
        </w:rPr>
      </w:pPr>
      <w:r w:rsidRPr="001923BD">
        <w:rPr>
          <w:b w:val="0"/>
          <w:sz w:val="20"/>
          <w:szCs w:val="20"/>
          <w:lang w:val="en-AU"/>
        </w:rPr>
        <w:t>The asset tested amount</w:t>
      </w:r>
      <w:r>
        <w:rPr>
          <w:b w:val="0"/>
          <w:sz w:val="20"/>
          <w:szCs w:val="20"/>
          <w:lang w:val="en-AU"/>
        </w:rPr>
        <w:t xml:space="preserve"> includes assets as assessed by Centrelink and includes any property or item of value that you or your partner have an interest in within Australia and overseas. It can also include assets that you have gifted (above the allowable threshold) within the last five years.</w:t>
      </w:r>
    </w:p>
    <w:p w14:paraId="36C2278B" w14:textId="77777777" w:rsidR="00601335" w:rsidRDefault="00601335" w:rsidP="00601335">
      <w:pPr>
        <w:pStyle w:val="FFheading2"/>
        <w:keepNext/>
        <w:keepLines/>
        <w:rPr>
          <w:b w:val="0"/>
          <w:sz w:val="20"/>
          <w:szCs w:val="20"/>
          <w:lang w:val="en-AU"/>
        </w:rPr>
      </w:pPr>
    </w:p>
    <w:p w14:paraId="5173C64D" w14:textId="77777777" w:rsidR="00601335" w:rsidRDefault="00601335" w:rsidP="00601335">
      <w:pPr>
        <w:pStyle w:val="FFheading2"/>
        <w:keepNext/>
        <w:keepLines/>
        <w:spacing w:after="120"/>
        <w:rPr>
          <w:b w:val="0"/>
          <w:sz w:val="20"/>
          <w:szCs w:val="20"/>
          <w:lang w:val="en-AU"/>
        </w:rPr>
      </w:pPr>
      <w:r>
        <w:rPr>
          <w:b w:val="0"/>
          <w:sz w:val="20"/>
          <w:szCs w:val="20"/>
          <w:lang w:val="en-AU"/>
        </w:rPr>
        <w:t>Assessable assets also include:</w:t>
      </w:r>
    </w:p>
    <w:p w14:paraId="618B6AC3" w14:textId="509D601B" w:rsidR="00601335" w:rsidRDefault="00601335" w:rsidP="00280FEF">
      <w:pPr>
        <w:pStyle w:val="FFheading2"/>
        <w:keepNext/>
        <w:keepLines/>
        <w:numPr>
          <w:ilvl w:val="0"/>
          <w:numId w:val="27"/>
        </w:numPr>
        <w:spacing w:after="120"/>
        <w:rPr>
          <w:b w:val="0"/>
          <w:sz w:val="20"/>
          <w:szCs w:val="20"/>
          <w:lang w:val="en-AU"/>
        </w:rPr>
      </w:pPr>
      <w:r>
        <w:rPr>
          <w:b w:val="0"/>
          <w:sz w:val="20"/>
          <w:szCs w:val="20"/>
          <w:lang w:val="en-AU"/>
        </w:rPr>
        <w:t>Former home: The assessable asset value of the former home is included and capped at $</w:t>
      </w:r>
      <w:r w:rsidR="00280FEF">
        <w:rPr>
          <w:b w:val="0"/>
          <w:sz w:val="20"/>
          <w:szCs w:val="20"/>
          <w:lang w:val="en-AU"/>
        </w:rPr>
        <w:t>1</w:t>
      </w:r>
      <w:r w:rsidR="005A4F77">
        <w:rPr>
          <w:b w:val="0"/>
          <w:sz w:val="20"/>
          <w:szCs w:val="20"/>
          <w:lang w:val="en-AU"/>
        </w:rPr>
        <w:t>9</w:t>
      </w:r>
      <w:r w:rsidR="00F81FE8">
        <w:rPr>
          <w:b w:val="0"/>
          <w:sz w:val="20"/>
          <w:szCs w:val="20"/>
          <w:lang w:val="en-AU"/>
        </w:rPr>
        <w:t>7,735.20</w:t>
      </w:r>
      <w:r>
        <w:rPr>
          <w:b w:val="0"/>
          <w:sz w:val="20"/>
          <w:szCs w:val="20"/>
          <w:lang w:val="en-AU"/>
        </w:rPr>
        <w:t xml:space="preserve">. </w:t>
      </w:r>
      <w:r w:rsidR="00B50574">
        <w:rPr>
          <w:b w:val="0"/>
          <w:sz w:val="20"/>
          <w:szCs w:val="20"/>
          <w:lang w:val="en-AU"/>
        </w:rPr>
        <w:t xml:space="preserve">This applies separately to both members of a couple. </w:t>
      </w:r>
      <w:r>
        <w:rPr>
          <w:b w:val="0"/>
          <w:sz w:val="20"/>
          <w:szCs w:val="20"/>
          <w:lang w:val="en-AU"/>
        </w:rPr>
        <w:t xml:space="preserve">The former home is exempted where a protected person resides in the home such as a partner, carer who has resided in the home for two years (eligible to receive </w:t>
      </w:r>
      <w:r w:rsidR="00665F49">
        <w:rPr>
          <w:b w:val="0"/>
          <w:sz w:val="20"/>
          <w:szCs w:val="20"/>
          <w:lang w:val="en-AU"/>
        </w:rPr>
        <w:t>social security payment</w:t>
      </w:r>
      <w:r>
        <w:rPr>
          <w:b w:val="0"/>
          <w:sz w:val="20"/>
          <w:szCs w:val="20"/>
          <w:lang w:val="en-AU"/>
        </w:rPr>
        <w:t xml:space="preserve">), or a close relative who has resided in the home for five years (eligible to receive </w:t>
      </w:r>
      <w:r w:rsidR="00665F49">
        <w:rPr>
          <w:b w:val="0"/>
          <w:sz w:val="20"/>
          <w:szCs w:val="20"/>
          <w:lang w:val="en-AU"/>
        </w:rPr>
        <w:t>social security payment</w:t>
      </w:r>
      <w:r>
        <w:rPr>
          <w:b w:val="0"/>
          <w:sz w:val="20"/>
          <w:szCs w:val="20"/>
          <w:lang w:val="en-AU"/>
        </w:rPr>
        <w:t>).</w:t>
      </w:r>
      <w:r w:rsidR="00665F49">
        <w:rPr>
          <w:b w:val="0"/>
          <w:sz w:val="20"/>
          <w:szCs w:val="20"/>
          <w:lang w:val="en-AU"/>
        </w:rPr>
        <w:t xml:space="preserve"> For protected person eligibility, Carer Allowance is not considered to be a social security payment. </w:t>
      </w:r>
    </w:p>
    <w:p w14:paraId="3C8B9F2B" w14:textId="407CD54F" w:rsidR="00601335" w:rsidRPr="001923BD" w:rsidRDefault="00601335" w:rsidP="00601335">
      <w:pPr>
        <w:pStyle w:val="FFheading2"/>
        <w:keepNext/>
        <w:keepLines/>
        <w:numPr>
          <w:ilvl w:val="0"/>
          <w:numId w:val="27"/>
        </w:numPr>
        <w:spacing w:after="120"/>
        <w:rPr>
          <w:b w:val="0"/>
          <w:sz w:val="20"/>
          <w:szCs w:val="20"/>
          <w:lang w:val="en-AU"/>
        </w:rPr>
      </w:pPr>
      <w:r>
        <w:rPr>
          <w:b w:val="0"/>
          <w:sz w:val="20"/>
          <w:szCs w:val="20"/>
          <w:lang w:val="en-AU"/>
        </w:rPr>
        <w:t>Refundable Accommodation Deposit (RAD): the amount paid as a lump sum is included in the assessable asset calculation.</w:t>
      </w:r>
      <w:r>
        <w:rPr>
          <w:b w:val="0"/>
          <w:sz w:val="20"/>
          <w:szCs w:val="20"/>
          <w:lang w:val="en-AU"/>
        </w:rPr>
        <w:br/>
      </w:r>
    </w:p>
    <w:p w14:paraId="536616C7" w14:textId="77777777" w:rsidR="00601335" w:rsidRPr="008C7B94" w:rsidRDefault="00601335" w:rsidP="00601335">
      <w:pPr>
        <w:pStyle w:val="FFheading1"/>
        <w:keepNext/>
        <w:keepLines/>
        <w:rPr>
          <w:rFonts w:asciiTheme="minorHAnsi" w:hAnsiTheme="minorHAnsi"/>
          <w:b/>
          <w:color w:val="333F48" w:themeColor="accent1"/>
          <w:szCs w:val="28"/>
          <w:lang w:val="en-AU" w:eastAsia="en-US"/>
        </w:rPr>
      </w:pPr>
      <w:r w:rsidRPr="008C7B94">
        <w:rPr>
          <w:rFonts w:asciiTheme="minorHAnsi" w:hAnsiTheme="minorHAnsi"/>
          <w:b/>
          <w:color w:val="333F48" w:themeColor="accent1"/>
          <w:szCs w:val="28"/>
          <w:lang w:val="en-AU" w:eastAsia="en-US"/>
        </w:rPr>
        <w:t>Ongoing fees</w:t>
      </w:r>
    </w:p>
    <w:p w14:paraId="0E84A830" w14:textId="77777777" w:rsidR="00601335" w:rsidRDefault="00601335" w:rsidP="00601335">
      <w:pPr>
        <w:pStyle w:val="FFheading2"/>
        <w:keepNext/>
        <w:keepLines/>
        <w:spacing w:before="120" w:after="120"/>
      </w:pPr>
      <w:r>
        <w:t>Basic daily care fees</w:t>
      </w:r>
    </w:p>
    <w:p w14:paraId="5919828B" w14:textId="520DBD5C" w:rsidR="00D61808" w:rsidRPr="00215048" w:rsidRDefault="00D61808" w:rsidP="00D61808">
      <w:pPr>
        <w:pStyle w:val="FFbody"/>
        <w:keepNext/>
        <w:keepLines/>
      </w:pPr>
      <w:r>
        <w:rPr>
          <w:lang w:val="en-AU"/>
        </w:rPr>
        <w:t>All aged care residents pay a basic daily care fee. The basic daily care fee of $</w:t>
      </w:r>
      <w:r w:rsidR="00F81FE8">
        <w:rPr>
          <w:lang w:val="en-AU"/>
        </w:rPr>
        <w:t>60.86</w:t>
      </w:r>
      <w:r>
        <w:rPr>
          <w:lang w:val="en-AU"/>
        </w:rPr>
        <w:t xml:space="preserve"> is equivalent to 85% of the </w:t>
      </w:r>
      <w:r w:rsidRPr="00215048">
        <w:rPr>
          <w:lang w:val="en-AU"/>
        </w:rPr>
        <w:t xml:space="preserve">maximum </w:t>
      </w:r>
      <w:r>
        <w:rPr>
          <w:lang w:val="en-AU"/>
        </w:rPr>
        <w:t xml:space="preserve">(basic rate) </w:t>
      </w:r>
      <w:r w:rsidRPr="00215048">
        <w:rPr>
          <w:lang w:val="en-AU"/>
        </w:rPr>
        <w:t>single age pension.</w:t>
      </w:r>
    </w:p>
    <w:p w14:paraId="13D07A6A" w14:textId="77777777" w:rsidR="00601335" w:rsidRPr="00215048" w:rsidRDefault="00601335" w:rsidP="00601335">
      <w:pPr>
        <w:pStyle w:val="FFheading2"/>
        <w:keepNext/>
        <w:keepLines/>
        <w:spacing w:before="120" w:after="120"/>
      </w:pPr>
      <w:r w:rsidRPr="00215048">
        <w:rPr>
          <w:lang w:val="en-AU"/>
        </w:rPr>
        <w:t>Means</w:t>
      </w:r>
      <w:r w:rsidRPr="00215048">
        <w:t xml:space="preserve"> tested fees</w:t>
      </w:r>
    </w:p>
    <w:p w14:paraId="3FF4F8FE" w14:textId="7AC74957" w:rsidR="00601335" w:rsidRPr="00215048" w:rsidRDefault="00601335" w:rsidP="00601335">
      <w:pPr>
        <w:pStyle w:val="FFbody"/>
        <w:keepNext/>
        <w:keepLines/>
        <w:rPr>
          <w:lang w:val="en-AU"/>
        </w:rPr>
      </w:pPr>
      <w:r w:rsidRPr="00215048">
        <w:t xml:space="preserve">The </w:t>
      </w:r>
      <w:r w:rsidRPr="00215048">
        <w:rPr>
          <w:lang w:val="en-AU"/>
        </w:rPr>
        <w:t>means</w:t>
      </w:r>
      <w:r w:rsidRPr="00215048">
        <w:t xml:space="preserve"> tested fee is another ongoing daily fee, charged in addition to the basic daily care fee. The amount you will pay is calculated based on your </w:t>
      </w:r>
      <w:r w:rsidRPr="00215048">
        <w:rPr>
          <w:lang w:val="en-AU"/>
        </w:rPr>
        <w:t>means tested amount</w:t>
      </w:r>
      <w:r w:rsidRPr="00215048">
        <w:t xml:space="preserve">. The </w:t>
      </w:r>
      <w:r w:rsidRPr="00215048">
        <w:rPr>
          <w:lang w:val="en-AU"/>
        </w:rPr>
        <w:t xml:space="preserve">means tested fee is capped at </w:t>
      </w:r>
      <w:r w:rsidR="003E50BE">
        <w:rPr>
          <w:rFonts w:eastAsia="PMingLiU" w:cs="Arial"/>
          <w:szCs w:val="20"/>
        </w:rPr>
        <w:t>$</w:t>
      </w:r>
      <w:r w:rsidR="00665F49">
        <w:rPr>
          <w:rFonts w:eastAsia="PMingLiU" w:cs="Arial"/>
          <w:szCs w:val="20"/>
          <w:lang w:val="en-AU"/>
        </w:rPr>
        <w:t>3</w:t>
      </w:r>
      <w:r w:rsidR="00F81FE8">
        <w:rPr>
          <w:rFonts w:eastAsia="PMingLiU" w:cs="Arial"/>
          <w:szCs w:val="20"/>
          <w:lang w:val="en-AU"/>
        </w:rPr>
        <w:t>2,718.57</w:t>
      </w:r>
      <w:r w:rsidR="003E50BE">
        <w:rPr>
          <w:rFonts w:eastAsia="PMingLiU" w:cs="Arial"/>
          <w:szCs w:val="20"/>
        </w:rPr>
        <w:t xml:space="preserve"> </w:t>
      </w:r>
      <w:r w:rsidRPr="00215048">
        <w:rPr>
          <w:lang w:val="en-AU"/>
        </w:rPr>
        <w:t xml:space="preserve">per annum or </w:t>
      </w:r>
      <w:r w:rsidR="000053FD">
        <w:rPr>
          <w:rFonts w:eastAsia="PMingLiU" w:cs="Arial"/>
          <w:szCs w:val="20"/>
        </w:rPr>
        <w:t>$</w:t>
      </w:r>
      <w:r w:rsidR="00F355A0">
        <w:rPr>
          <w:rFonts w:eastAsia="PMingLiU" w:cs="Arial"/>
          <w:szCs w:val="20"/>
          <w:lang w:val="en-AU"/>
        </w:rPr>
        <w:t>7</w:t>
      </w:r>
      <w:r w:rsidR="00F81FE8">
        <w:rPr>
          <w:rFonts w:eastAsia="PMingLiU" w:cs="Arial"/>
          <w:szCs w:val="20"/>
          <w:lang w:val="en-AU"/>
        </w:rPr>
        <w:t>8,524.69</w:t>
      </w:r>
      <w:r w:rsidR="000053FD">
        <w:rPr>
          <w:rFonts w:eastAsia="PMingLiU" w:cs="Arial"/>
          <w:szCs w:val="20"/>
        </w:rPr>
        <w:t xml:space="preserve"> </w:t>
      </w:r>
      <w:r w:rsidRPr="00215048">
        <w:rPr>
          <w:lang w:val="en-AU"/>
        </w:rPr>
        <w:t>over your lifetime.</w:t>
      </w:r>
    </w:p>
    <w:p w14:paraId="340102DD" w14:textId="77777777" w:rsidR="00601335" w:rsidRDefault="00601335" w:rsidP="00601335">
      <w:pPr>
        <w:autoSpaceDE w:val="0"/>
        <w:autoSpaceDN w:val="0"/>
        <w:adjustRightInd w:val="0"/>
        <w:rPr>
          <w:rFonts w:cs="Arial"/>
          <w:color w:val="000000"/>
          <w:szCs w:val="18"/>
        </w:rPr>
      </w:pPr>
      <w:r w:rsidRPr="00215048">
        <w:t xml:space="preserve">Note: </w:t>
      </w:r>
      <w:r w:rsidRPr="00215048">
        <w:rPr>
          <w:rFonts w:cs="Arial"/>
          <w:color w:val="000000"/>
          <w:szCs w:val="18"/>
        </w:rPr>
        <w:t>If you enter aged care on or after 1 January 2016, rent from your former home is included in the</w:t>
      </w:r>
      <w:r>
        <w:rPr>
          <w:rFonts w:cs="Arial"/>
          <w:color w:val="000000"/>
          <w:szCs w:val="18"/>
        </w:rPr>
        <w:t xml:space="preserve"> means tested fee calculation. </w:t>
      </w:r>
      <w:r w:rsidRPr="00215048">
        <w:rPr>
          <w:rFonts w:cs="Arial"/>
          <w:color w:val="000000"/>
          <w:szCs w:val="18"/>
        </w:rPr>
        <w:t xml:space="preserve">For those that entered aged care before 1 January 2016, </w:t>
      </w:r>
      <w:r w:rsidRPr="00215048">
        <w:t xml:space="preserve">any income derived from renting is exempted from the means tested fee </w:t>
      </w:r>
      <w:r w:rsidRPr="00821534">
        <w:t>calculation whe</w:t>
      </w:r>
      <w:r w:rsidRPr="00215048">
        <w:rPr>
          <w:rFonts w:cs="Arial"/>
          <w:color w:val="000000"/>
          <w:szCs w:val="18"/>
        </w:rPr>
        <w:t>re you pay at least a portion of your accommodation payment as Daily Accommodation Payments (DAP)</w:t>
      </w:r>
      <w:r>
        <w:rPr>
          <w:rFonts w:cs="Arial"/>
          <w:color w:val="000000"/>
          <w:szCs w:val="18"/>
        </w:rPr>
        <w:t xml:space="preserve"> or Daily Accommodation Contributions (DAC)</w:t>
      </w:r>
      <w:r w:rsidRPr="00215048">
        <w:rPr>
          <w:rFonts w:cs="Arial"/>
          <w:color w:val="000000"/>
          <w:szCs w:val="18"/>
        </w:rPr>
        <w:t>.</w:t>
      </w:r>
    </w:p>
    <w:p w14:paraId="25D7A2EA" w14:textId="77777777" w:rsidR="00601335" w:rsidRDefault="00601335" w:rsidP="00601335">
      <w:pPr>
        <w:autoSpaceDE w:val="0"/>
        <w:autoSpaceDN w:val="0"/>
        <w:adjustRightInd w:val="0"/>
        <w:rPr>
          <w:rFonts w:ascii="Arial" w:hAnsi="Arial"/>
          <w:b/>
          <w:sz w:val="22"/>
          <w:lang w:val="x-none" w:eastAsia="x-none"/>
        </w:rPr>
      </w:pPr>
      <w:r w:rsidRPr="00DC0427">
        <w:rPr>
          <w:rFonts w:ascii="Arial" w:hAnsi="Arial"/>
          <w:b/>
          <w:sz w:val="22"/>
          <w:lang w:val="x-none" w:eastAsia="x-none"/>
        </w:rPr>
        <w:t>Extra services</w:t>
      </w:r>
    </w:p>
    <w:p w14:paraId="5C91C18C" w14:textId="77777777" w:rsidR="00601335" w:rsidRDefault="00601335" w:rsidP="00601335">
      <w:pPr>
        <w:autoSpaceDE w:val="0"/>
        <w:autoSpaceDN w:val="0"/>
        <w:adjustRightInd w:val="0"/>
      </w:pPr>
      <w:r w:rsidRPr="00B63FAD">
        <w:t xml:space="preserve">Some aged care facilities </w:t>
      </w:r>
      <w:r>
        <w:t xml:space="preserve">are approved by the government to </w:t>
      </w:r>
      <w:r w:rsidRPr="00B63FAD">
        <w:t>provide extra services across the whole facility or in a designated part</w:t>
      </w:r>
      <w:r>
        <w:t xml:space="preserve"> of the facility</w:t>
      </w:r>
      <w:r w:rsidRPr="00B63FAD">
        <w:t xml:space="preserve">. </w:t>
      </w:r>
      <w:r>
        <w:t>In addition to designated extra service facilities, some standard aged care facilities offer additional services on an opt-in basis.</w:t>
      </w:r>
    </w:p>
    <w:p w14:paraId="5EBB1031" w14:textId="77777777" w:rsidR="00601335" w:rsidRDefault="00601335" w:rsidP="00601335">
      <w:pPr>
        <w:autoSpaceDE w:val="0"/>
        <w:autoSpaceDN w:val="0"/>
        <w:adjustRightInd w:val="0"/>
      </w:pPr>
      <w:r w:rsidRPr="00B63FAD">
        <w:t xml:space="preserve">Extra services mean that the facility will provide you with a higher standard of accommodation and services, which you will pay for in the form of a daily extra service </w:t>
      </w:r>
      <w:r w:rsidRPr="00B63FAD">
        <w:lastRenderedPageBreak/>
        <w:t xml:space="preserve">fee. Extra services may include a choice of meals, </w:t>
      </w:r>
      <w:proofErr w:type="gramStart"/>
      <w:r w:rsidRPr="00B63FAD">
        <w:t>wine</w:t>
      </w:r>
      <w:proofErr w:type="gramEnd"/>
      <w:r w:rsidRPr="00B63FAD">
        <w:t xml:space="preserve"> or massages.</w:t>
      </w:r>
    </w:p>
    <w:p w14:paraId="608CD2EA" w14:textId="77777777" w:rsidR="00601335" w:rsidRDefault="00601335" w:rsidP="00601335">
      <w:pPr>
        <w:pStyle w:val="FFbody"/>
        <w:keepNext/>
        <w:keepLines/>
        <w:rPr>
          <w:rFonts w:cs="Arial"/>
          <w:szCs w:val="20"/>
          <w:lang w:val="en-AU"/>
        </w:rPr>
      </w:pPr>
      <w:r w:rsidRPr="00B63FAD">
        <w:t xml:space="preserve">Accommodation and services vary from one facility to another, so you will need to check with the provider </w:t>
      </w:r>
      <w:r w:rsidRPr="00F4685E">
        <w:rPr>
          <w:rFonts w:cs="Arial"/>
          <w:szCs w:val="20"/>
          <w:lang w:val="en-AU"/>
        </w:rPr>
        <w:t xml:space="preserve">for details </w:t>
      </w:r>
      <w:r>
        <w:rPr>
          <w:rFonts w:cs="Arial"/>
          <w:szCs w:val="20"/>
          <w:lang w:val="en-AU"/>
        </w:rPr>
        <w:t xml:space="preserve">of services </w:t>
      </w:r>
      <w:r w:rsidRPr="00F4685E">
        <w:rPr>
          <w:rFonts w:cs="Arial"/>
          <w:szCs w:val="20"/>
          <w:lang w:val="en-AU"/>
        </w:rPr>
        <w:t>and extra service</w:t>
      </w:r>
      <w:r>
        <w:rPr>
          <w:rFonts w:cs="Arial"/>
          <w:szCs w:val="20"/>
          <w:lang w:val="en-AU"/>
        </w:rPr>
        <w:t xml:space="preserve"> fees.</w:t>
      </w:r>
    </w:p>
    <w:p w14:paraId="15844EA0" w14:textId="77777777" w:rsidR="00601335" w:rsidRPr="00B27A83" w:rsidRDefault="00601335" w:rsidP="00601335">
      <w:pPr>
        <w:pStyle w:val="FFbody"/>
        <w:keepNext/>
        <w:keepLines/>
        <w:spacing w:before="120"/>
        <w:rPr>
          <w:b/>
          <w:sz w:val="22"/>
          <w:szCs w:val="22"/>
        </w:rPr>
      </w:pPr>
      <w:r>
        <w:rPr>
          <w:b/>
          <w:sz w:val="22"/>
          <w:szCs w:val="22"/>
          <w:lang w:val="en-AU"/>
        </w:rPr>
        <w:t>Daily Accommodation Payments</w:t>
      </w:r>
    </w:p>
    <w:p w14:paraId="0FC90E05" w14:textId="77777777" w:rsidR="00601335" w:rsidRDefault="00601335" w:rsidP="00601335">
      <w:pPr>
        <w:pStyle w:val="FFbody"/>
        <w:keepNext/>
        <w:keepLines/>
      </w:pPr>
      <w:r>
        <w:t xml:space="preserve">If a resident does not pay the </w:t>
      </w:r>
      <w:r>
        <w:rPr>
          <w:lang w:val="en-AU"/>
        </w:rPr>
        <w:t>accommodation payment</w:t>
      </w:r>
      <w:r>
        <w:t xml:space="preserve"> in full, interest will be charged on the amount of the bond that is outstanding. These are referred to as </w:t>
      </w:r>
      <w:r>
        <w:rPr>
          <w:lang w:val="en-AU"/>
        </w:rPr>
        <w:t>Daily Accommodation Payments (DAP)</w:t>
      </w:r>
      <w:r>
        <w:t xml:space="preserve">. These payments are not refunded to the resident when they leave, nor do they reduce the outstanding amount of the bond. The rate of interest charged is </w:t>
      </w:r>
      <w:r>
        <w:rPr>
          <w:lang w:val="en-AU"/>
        </w:rPr>
        <w:t>set</w:t>
      </w:r>
      <w:r>
        <w:t xml:space="preserve"> by the government.</w:t>
      </w:r>
    </w:p>
    <w:p w14:paraId="2F2B8AA4" w14:textId="77777777" w:rsidR="00601335" w:rsidRPr="008C7B94" w:rsidRDefault="00601335" w:rsidP="00601335">
      <w:pPr>
        <w:pStyle w:val="FFheading1"/>
        <w:keepNext/>
        <w:keepLines/>
        <w:rPr>
          <w:b/>
          <w:sz w:val="22"/>
          <w:szCs w:val="22"/>
          <w:lang w:val="en-AU"/>
        </w:rPr>
      </w:pPr>
      <w:r w:rsidRPr="008C7B94">
        <w:rPr>
          <w:b/>
          <w:sz w:val="22"/>
          <w:szCs w:val="22"/>
          <w:lang w:val="en-AU"/>
        </w:rPr>
        <w:t>What effect will paying aged care fees have on my Age Pension?</w:t>
      </w:r>
    </w:p>
    <w:p w14:paraId="34729197" w14:textId="4A557721" w:rsidR="00601335" w:rsidRDefault="0028774F" w:rsidP="00601335">
      <w:pPr>
        <w:pStyle w:val="FFbody"/>
        <w:keepNext/>
        <w:keepLines/>
      </w:pPr>
      <w:r>
        <w:rPr>
          <w:lang w:val="en-AU"/>
        </w:rPr>
        <w:t>Partnered</w:t>
      </w:r>
      <w:r w:rsidR="00601335">
        <w:t xml:space="preserve"> pensioners may each receive a higher rate of pension, under the government’s ‘separated due to ill health’ provision, if one or both members of the couple are in aged care.</w:t>
      </w:r>
    </w:p>
    <w:p w14:paraId="2A4829CB" w14:textId="77777777" w:rsidR="00601335" w:rsidRDefault="00601335" w:rsidP="00601335">
      <w:pPr>
        <w:pStyle w:val="FFbody"/>
        <w:keepNext/>
        <w:keepLines/>
        <w:rPr>
          <w:lang w:val="en-AU"/>
        </w:rPr>
      </w:pPr>
      <w:r>
        <w:rPr>
          <w:lang w:val="en-AU"/>
        </w:rPr>
        <w:t>If you entered care prior to 1 January 2017, are renting your former home and paying a Daily Accommodation Payment or Daily Accommodation Contribution, the value of your former home is exempt from the Age Pension assets test and rental income is exempt from the income test.</w:t>
      </w:r>
    </w:p>
    <w:p w14:paraId="2D7825B7" w14:textId="77777777" w:rsidR="00601335" w:rsidRDefault="00601335" w:rsidP="00601335">
      <w:pPr>
        <w:pStyle w:val="FFbody"/>
        <w:keepNext/>
        <w:keepLines/>
        <w:rPr>
          <w:lang w:val="en-AU"/>
        </w:rPr>
      </w:pPr>
      <w:r>
        <w:rPr>
          <w:lang w:val="en-AU"/>
        </w:rPr>
        <w:t>If you enter care from 1 January 2017, however, your former home becomes an assessable asset after 2 years (unless occupied by your spouse) and rental income is assessable for Age Pension income test purposes.</w:t>
      </w:r>
      <w:r>
        <w:br/>
      </w:r>
    </w:p>
    <w:p w14:paraId="754BB691" w14:textId="77777777" w:rsidR="00601335" w:rsidRPr="008C7B94" w:rsidRDefault="00601335" w:rsidP="00601335">
      <w:pPr>
        <w:pStyle w:val="FFheading1"/>
        <w:keepNext/>
        <w:keepLines/>
        <w:rPr>
          <w:rFonts w:asciiTheme="minorHAnsi" w:hAnsiTheme="minorHAnsi" w:cs="Arial"/>
          <w:b/>
          <w:sz w:val="22"/>
          <w:szCs w:val="22"/>
          <w:lang w:val="en-AU" w:eastAsia="en-US"/>
        </w:rPr>
      </w:pPr>
      <w:r w:rsidRPr="008C7B94">
        <w:rPr>
          <w:rFonts w:asciiTheme="minorHAnsi" w:hAnsiTheme="minorHAnsi" w:cs="Arial"/>
          <w:b/>
          <w:sz w:val="22"/>
          <w:szCs w:val="22"/>
          <w:lang w:val="en-AU" w:eastAsia="en-US"/>
        </w:rPr>
        <w:t xml:space="preserve">Getting the right financial advice </w:t>
      </w:r>
    </w:p>
    <w:p w14:paraId="74A7D7C0" w14:textId="77777777" w:rsidR="00601335" w:rsidRPr="008C7B94" w:rsidRDefault="00601335" w:rsidP="00601335">
      <w:pPr>
        <w:pStyle w:val="FFbody"/>
        <w:keepNext/>
        <w:keepLines/>
      </w:pPr>
      <w:r>
        <w:t xml:space="preserve">Residential aged care is a complex area. </w:t>
      </w:r>
      <w:r w:rsidRPr="00F4685E">
        <w:rPr>
          <w:rFonts w:cs="Arial"/>
          <w:szCs w:val="20"/>
          <w:lang w:val="en-AU"/>
        </w:rPr>
        <w:t>Getting the right professional</w:t>
      </w:r>
      <w:r>
        <w:t xml:space="preserve"> financial advice can make all the difference in ensuring your assets and income are structured effectively, </w:t>
      </w:r>
      <w:r>
        <w:rPr>
          <w:lang w:val="en-AU"/>
        </w:rPr>
        <w:t xml:space="preserve">managing </w:t>
      </w:r>
      <w:r>
        <w:t xml:space="preserve">any changes to your pension </w:t>
      </w:r>
      <w:proofErr w:type="gramStart"/>
      <w:r>
        <w:t>payments</w:t>
      </w:r>
      <w:proofErr w:type="gramEnd"/>
      <w:r>
        <w:t xml:space="preserve"> and ensuring you have sufficient income to support your lifestyle and care needs. </w:t>
      </w:r>
    </w:p>
    <w:p w14:paraId="145021DA" w14:textId="22F39991" w:rsidR="008C7B94" w:rsidRPr="00BE0C4E" w:rsidRDefault="008C7B94" w:rsidP="008E276F">
      <w:pPr>
        <w:rPr>
          <w:rFonts w:cs="Arial"/>
          <w:bCs/>
          <w:sz w:val="22"/>
          <w:szCs w:val="22"/>
        </w:rPr>
      </w:pPr>
    </w:p>
    <w:p w14:paraId="681F3C16" w14:textId="77777777" w:rsidR="008C7B94" w:rsidRDefault="008C7B94" w:rsidP="008E276F">
      <w:pPr>
        <w:pStyle w:val="FFbody"/>
        <w:keepNext/>
        <w:keepLines/>
        <w:rPr>
          <w:rFonts w:cs="Arial"/>
          <w:color w:val="000000"/>
          <w:szCs w:val="20"/>
          <w:lang w:val="en-AU"/>
        </w:rPr>
      </w:pPr>
    </w:p>
    <w:p w14:paraId="7AC70299" w14:textId="77777777" w:rsidR="008C7B94" w:rsidRDefault="008C7B94" w:rsidP="008E276F">
      <w:pPr>
        <w:pStyle w:val="FFbody"/>
        <w:keepNext/>
        <w:keepLines/>
        <w:rPr>
          <w:rFonts w:cs="Arial"/>
          <w:color w:val="000000"/>
          <w:szCs w:val="20"/>
          <w:lang w:val="en-AU"/>
        </w:rPr>
      </w:pPr>
    </w:p>
    <w:p w14:paraId="3FBBAF94" w14:textId="77777777" w:rsidR="008C7B94" w:rsidRDefault="008C7B94" w:rsidP="008E276F">
      <w:pPr>
        <w:pStyle w:val="FFbody"/>
        <w:keepNext/>
        <w:keepLines/>
        <w:rPr>
          <w:rFonts w:cs="Arial"/>
          <w:color w:val="000000"/>
          <w:szCs w:val="20"/>
          <w:lang w:val="en-AU"/>
        </w:rPr>
      </w:pPr>
    </w:p>
    <w:p w14:paraId="1E4B8E52" w14:textId="77777777" w:rsidR="008C7B94" w:rsidRDefault="008C7B94" w:rsidP="008E276F">
      <w:pPr>
        <w:pStyle w:val="FFbody"/>
        <w:keepNext/>
        <w:keepLines/>
        <w:rPr>
          <w:rFonts w:cs="Arial"/>
          <w:color w:val="000000"/>
          <w:szCs w:val="20"/>
          <w:lang w:val="en-AU"/>
        </w:rPr>
      </w:pPr>
    </w:p>
    <w:p w14:paraId="539F9330" w14:textId="77777777" w:rsidR="008C7B94" w:rsidRDefault="008C7B94" w:rsidP="008E276F">
      <w:pPr>
        <w:pStyle w:val="FFbody"/>
        <w:keepNext/>
        <w:keepLines/>
        <w:rPr>
          <w:rFonts w:cs="Arial"/>
          <w:color w:val="000000"/>
          <w:szCs w:val="20"/>
          <w:lang w:val="en-AU"/>
        </w:rPr>
      </w:pPr>
    </w:p>
    <w:p w14:paraId="2BDE8981" w14:textId="77777777" w:rsidR="008C7B94" w:rsidRDefault="008C7B94" w:rsidP="008E276F">
      <w:pPr>
        <w:pStyle w:val="FFbody"/>
        <w:keepNext/>
        <w:keepLines/>
        <w:rPr>
          <w:rFonts w:cs="Arial"/>
          <w:color w:val="000000"/>
          <w:szCs w:val="20"/>
          <w:lang w:val="en-AU"/>
        </w:rPr>
      </w:pPr>
    </w:p>
    <w:p w14:paraId="134DF760" w14:textId="77777777" w:rsidR="008C7B94" w:rsidRDefault="008C7B94" w:rsidP="008E276F">
      <w:pPr>
        <w:pStyle w:val="FFbody"/>
        <w:keepNext/>
        <w:keepLines/>
        <w:rPr>
          <w:rFonts w:cs="Arial"/>
          <w:color w:val="000000"/>
          <w:szCs w:val="20"/>
          <w:lang w:val="en-AU"/>
        </w:rPr>
      </w:pPr>
    </w:p>
    <w:p w14:paraId="3117EBBA" w14:textId="77777777" w:rsidR="008C7B94" w:rsidRDefault="008C7B94" w:rsidP="008E276F">
      <w:pPr>
        <w:pStyle w:val="FFbody"/>
        <w:keepNext/>
        <w:keepLines/>
        <w:rPr>
          <w:rFonts w:cs="Arial"/>
          <w:color w:val="000000"/>
          <w:szCs w:val="20"/>
          <w:lang w:val="en-AU"/>
        </w:rPr>
      </w:pPr>
    </w:p>
    <w:p w14:paraId="7DBB0DD7" w14:textId="77777777" w:rsidR="008C7B94" w:rsidRDefault="008C7B94" w:rsidP="008E276F">
      <w:pPr>
        <w:pStyle w:val="FFbody"/>
        <w:keepNext/>
        <w:keepLines/>
        <w:rPr>
          <w:rFonts w:cs="Arial"/>
          <w:color w:val="000000"/>
          <w:szCs w:val="20"/>
          <w:lang w:val="en-AU"/>
        </w:rPr>
      </w:pPr>
    </w:p>
    <w:p w14:paraId="0C0EF80E" w14:textId="77777777" w:rsidR="008C7B94" w:rsidRDefault="008C7B94" w:rsidP="008E276F">
      <w:pPr>
        <w:pStyle w:val="FFbody"/>
        <w:keepNext/>
        <w:keepLines/>
        <w:rPr>
          <w:rFonts w:cs="Arial"/>
          <w:color w:val="000000"/>
          <w:szCs w:val="20"/>
          <w:lang w:val="en-AU"/>
        </w:rPr>
      </w:pPr>
    </w:p>
    <w:p w14:paraId="354EE9CF" w14:textId="77777777" w:rsidR="008C7B94" w:rsidRDefault="008C7B94" w:rsidP="008E276F">
      <w:pPr>
        <w:pStyle w:val="FFbody"/>
        <w:keepNext/>
        <w:keepLines/>
        <w:rPr>
          <w:rFonts w:cs="Arial"/>
          <w:color w:val="000000"/>
          <w:szCs w:val="20"/>
          <w:lang w:val="en-AU"/>
        </w:rPr>
      </w:pPr>
    </w:p>
    <w:p w14:paraId="2F6C70EF" w14:textId="77777777" w:rsidR="008C7B94" w:rsidRDefault="008C7B94" w:rsidP="008E276F">
      <w:pPr>
        <w:pStyle w:val="FFbody"/>
        <w:keepNext/>
        <w:keepLines/>
        <w:rPr>
          <w:rFonts w:cs="Arial"/>
          <w:color w:val="000000"/>
          <w:szCs w:val="20"/>
          <w:lang w:val="en-AU"/>
        </w:rPr>
      </w:pPr>
    </w:p>
    <w:p w14:paraId="6E354648" w14:textId="77777777" w:rsidR="008C7B94" w:rsidRDefault="008C7B94" w:rsidP="008E276F">
      <w:pPr>
        <w:pStyle w:val="FFbody"/>
        <w:keepNext/>
        <w:keepLines/>
        <w:rPr>
          <w:rFonts w:cs="Arial"/>
          <w:color w:val="000000"/>
          <w:szCs w:val="20"/>
          <w:lang w:val="en-AU"/>
        </w:rPr>
      </w:pPr>
    </w:p>
    <w:p w14:paraId="0CD6209C" w14:textId="77777777" w:rsidR="008C7B94" w:rsidRDefault="008C7B94" w:rsidP="008E276F">
      <w:pPr>
        <w:pStyle w:val="FFbody"/>
        <w:keepNext/>
        <w:keepLines/>
        <w:rPr>
          <w:rFonts w:cs="Arial"/>
          <w:color w:val="000000"/>
          <w:szCs w:val="20"/>
          <w:lang w:val="en-AU"/>
        </w:rPr>
      </w:pPr>
    </w:p>
    <w:p w14:paraId="0DADBC3E" w14:textId="77777777" w:rsidR="008C7B94" w:rsidRDefault="008C7B94" w:rsidP="008E276F">
      <w:pPr>
        <w:pStyle w:val="FFbody"/>
        <w:keepNext/>
        <w:keepLines/>
        <w:rPr>
          <w:rFonts w:cs="Arial"/>
          <w:color w:val="000000"/>
          <w:szCs w:val="20"/>
          <w:lang w:val="en-AU"/>
        </w:rPr>
      </w:pPr>
    </w:p>
    <w:p w14:paraId="5D1B5982" w14:textId="77777777" w:rsidR="008C7B94" w:rsidRDefault="008C7B94" w:rsidP="008E276F">
      <w:pPr>
        <w:pStyle w:val="FFbody"/>
        <w:keepNext/>
        <w:keepLines/>
        <w:rPr>
          <w:rFonts w:cs="Arial"/>
          <w:color w:val="000000"/>
          <w:szCs w:val="20"/>
          <w:lang w:val="en-AU"/>
        </w:rPr>
      </w:pPr>
    </w:p>
    <w:p w14:paraId="7D45B8E6" w14:textId="77777777" w:rsidR="008C7B94" w:rsidRDefault="008C7B94" w:rsidP="008E276F">
      <w:pPr>
        <w:pStyle w:val="FFbody"/>
        <w:keepNext/>
        <w:keepLines/>
        <w:rPr>
          <w:rFonts w:cs="Arial"/>
          <w:color w:val="000000"/>
          <w:szCs w:val="20"/>
          <w:lang w:val="en-AU"/>
        </w:rPr>
      </w:pPr>
    </w:p>
    <w:p w14:paraId="0822A42F" w14:textId="77777777" w:rsidR="00DC0427" w:rsidRDefault="00DC0427" w:rsidP="008E276F">
      <w:pPr>
        <w:pStyle w:val="FFbody"/>
        <w:keepNext/>
        <w:keepLines/>
        <w:rPr>
          <w:rFonts w:cs="Arial"/>
          <w:color w:val="000000"/>
          <w:szCs w:val="20"/>
          <w:lang w:val="en-AU"/>
        </w:rPr>
      </w:pPr>
    </w:p>
    <w:p w14:paraId="57C88367" w14:textId="77777777" w:rsidR="00DC0427" w:rsidRDefault="00DC0427" w:rsidP="008E276F">
      <w:pPr>
        <w:pStyle w:val="FFbody"/>
        <w:keepNext/>
        <w:keepLines/>
        <w:rPr>
          <w:rFonts w:cs="Arial"/>
          <w:color w:val="000000"/>
          <w:szCs w:val="20"/>
          <w:lang w:val="en-AU"/>
        </w:rPr>
      </w:pPr>
    </w:p>
    <w:p w14:paraId="4265FC48" w14:textId="77777777" w:rsidR="00DC0427" w:rsidRDefault="00DC0427" w:rsidP="008E276F">
      <w:pPr>
        <w:pStyle w:val="FFbody"/>
        <w:keepNext/>
        <w:keepLines/>
        <w:rPr>
          <w:rFonts w:cs="Arial"/>
          <w:color w:val="000000"/>
          <w:szCs w:val="20"/>
          <w:lang w:val="en-AU"/>
        </w:rPr>
      </w:pPr>
    </w:p>
    <w:p w14:paraId="5D8C2547" w14:textId="26169419" w:rsidR="00DC0427" w:rsidRDefault="00DC0427" w:rsidP="008E276F">
      <w:pPr>
        <w:pStyle w:val="FFbody"/>
        <w:keepNext/>
        <w:keepLines/>
        <w:rPr>
          <w:rFonts w:cs="Arial"/>
          <w:color w:val="000000"/>
          <w:szCs w:val="20"/>
          <w:lang w:val="en-AU"/>
        </w:rPr>
      </w:pPr>
    </w:p>
    <w:p w14:paraId="647F0DCD" w14:textId="77777777" w:rsidR="00DC0427" w:rsidRDefault="00DC0427" w:rsidP="008E276F">
      <w:pPr>
        <w:pStyle w:val="FFbody"/>
        <w:keepNext/>
        <w:keepLines/>
        <w:rPr>
          <w:rFonts w:cs="Arial"/>
          <w:color w:val="000000"/>
          <w:szCs w:val="20"/>
          <w:lang w:val="en-AU"/>
        </w:rPr>
      </w:pPr>
    </w:p>
    <w:p w14:paraId="794158B8" w14:textId="77777777" w:rsidR="00DC0427" w:rsidRDefault="00DC0427" w:rsidP="008E276F">
      <w:pPr>
        <w:pStyle w:val="FFbody"/>
        <w:keepNext/>
        <w:keepLines/>
        <w:rPr>
          <w:rFonts w:cs="Arial"/>
          <w:color w:val="000000"/>
          <w:szCs w:val="20"/>
          <w:lang w:val="en-AU"/>
        </w:rPr>
      </w:pPr>
    </w:p>
    <w:p w14:paraId="5AF59695" w14:textId="77777777" w:rsidR="00DC0427" w:rsidRDefault="00DC0427" w:rsidP="008E276F">
      <w:pPr>
        <w:pStyle w:val="FFbody"/>
        <w:keepNext/>
        <w:keepLines/>
        <w:rPr>
          <w:rFonts w:cs="Arial"/>
          <w:color w:val="000000"/>
          <w:szCs w:val="20"/>
          <w:lang w:val="en-AU"/>
        </w:rPr>
      </w:pPr>
    </w:p>
    <w:p w14:paraId="1A9EC931" w14:textId="77777777" w:rsidR="00DC0427" w:rsidRDefault="00DC0427" w:rsidP="008E276F">
      <w:pPr>
        <w:pStyle w:val="FFbody"/>
        <w:keepNext/>
        <w:keepLines/>
        <w:rPr>
          <w:rFonts w:cs="Arial"/>
          <w:color w:val="000000"/>
          <w:szCs w:val="20"/>
          <w:lang w:val="en-AU"/>
        </w:rPr>
      </w:pPr>
    </w:p>
    <w:p w14:paraId="58992854" w14:textId="77777777" w:rsidR="00DC0427" w:rsidRDefault="00DC0427" w:rsidP="008E276F">
      <w:pPr>
        <w:pStyle w:val="FFbody"/>
        <w:keepNext/>
        <w:keepLines/>
        <w:rPr>
          <w:rFonts w:cs="Arial"/>
          <w:color w:val="000000"/>
          <w:szCs w:val="20"/>
          <w:lang w:val="en-AU"/>
        </w:rPr>
      </w:pPr>
    </w:p>
    <w:p w14:paraId="06ACFBF4" w14:textId="77777777" w:rsidR="00DC0427" w:rsidRDefault="00DC0427" w:rsidP="008E276F">
      <w:pPr>
        <w:pStyle w:val="FFbody"/>
        <w:keepNext/>
        <w:keepLines/>
        <w:rPr>
          <w:rFonts w:cs="Arial"/>
          <w:color w:val="000000"/>
          <w:szCs w:val="20"/>
          <w:lang w:val="en-AU"/>
        </w:rPr>
      </w:pPr>
    </w:p>
    <w:p w14:paraId="76D3463D" w14:textId="77777777" w:rsidR="008C7B94" w:rsidRDefault="008C7B94" w:rsidP="008E276F">
      <w:pPr>
        <w:pStyle w:val="FFbody"/>
        <w:keepNext/>
        <w:keepLines/>
        <w:rPr>
          <w:rFonts w:cs="Arial"/>
          <w:color w:val="000000"/>
          <w:szCs w:val="20"/>
          <w:lang w:val="en-AU"/>
        </w:rPr>
      </w:pPr>
    </w:p>
    <w:p w14:paraId="223A8793" w14:textId="77777777" w:rsidR="008C7B94" w:rsidRDefault="008C7B94" w:rsidP="008E276F">
      <w:pPr>
        <w:pStyle w:val="FFbody"/>
        <w:keepNext/>
        <w:keepLines/>
        <w:rPr>
          <w:rFonts w:cs="Arial"/>
          <w:color w:val="000000"/>
          <w:szCs w:val="20"/>
          <w:lang w:val="en-AU"/>
        </w:rPr>
      </w:pPr>
    </w:p>
    <w:p w14:paraId="3A6FDE28" w14:textId="77777777" w:rsidR="008C7B94" w:rsidRDefault="008C7B94" w:rsidP="008E276F">
      <w:pPr>
        <w:pStyle w:val="FFbody"/>
        <w:keepNext/>
        <w:keepLines/>
        <w:rPr>
          <w:rFonts w:cs="Arial"/>
          <w:color w:val="000000"/>
          <w:szCs w:val="20"/>
          <w:lang w:val="en-AU"/>
        </w:rPr>
      </w:pPr>
    </w:p>
    <w:p w14:paraId="70AA7082" w14:textId="77777777" w:rsidR="008C7B94" w:rsidRDefault="008C7B94" w:rsidP="008E276F">
      <w:pPr>
        <w:pStyle w:val="FFbody"/>
        <w:keepNext/>
        <w:keepLines/>
        <w:rPr>
          <w:rFonts w:cs="Arial"/>
          <w:color w:val="000000"/>
          <w:szCs w:val="20"/>
          <w:lang w:val="en-AU"/>
        </w:rPr>
      </w:pPr>
    </w:p>
    <w:p w14:paraId="55AB0C1C" w14:textId="77777777" w:rsidR="008C7B94" w:rsidRDefault="008C7B94" w:rsidP="008E276F">
      <w:pPr>
        <w:pStyle w:val="FFbody"/>
        <w:keepNext/>
        <w:keepLines/>
        <w:rPr>
          <w:rFonts w:cs="Arial"/>
          <w:color w:val="000000"/>
          <w:szCs w:val="20"/>
          <w:lang w:val="en-AU"/>
        </w:rPr>
      </w:pPr>
    </w:p>
    <w:p w14:paraId="1DFC62C5" w14:textId="77777777" w:rsidR="008C7B94" w:rsidRDefault="008C7B94" w:rsidP="008E276F">
      <w:pPr>
        <w:pStyle w:val="FFbody"/>
        <w:keepNext/>
        <w:keepLines/>
        <w:rPr>
          <w:rFonts w:cs="Arial"/>
          <w:color w:val="000000"/>
          <w:szCs w:val="20"/>
          <w:lang w:val="en-AU"/>
        </w:rPr>
      </w:pPr>
    </w:p>
    <w:p w14:paraId="7D89715C" w14:textId="4B8AD150" w:rsidR="00C41190" w:rsidRPr="00DC0427" w:rsidRDefault="00C41190" w:rsidP="00DC0427">
      <w:pPr>
        <w:pStyle w:val="FFbody"/>
        <w:keepNext/>
        <w:keepLines/>
        <w:rPr>
          <w:rFonts w:cs="Arial"/>
          <w:color w:val="000000"/>
          <w:shd w:val="clear" w:color="auto" w:fill="FFFFFF"/>
        </w:rPr>
        <w:sectPr w:rsidR="00C41190" w:rsidRPr="00DC0427" w:rsidSect="00D2534D">
          <w:footerReference w:type="default" r:id="rId19"/>
          <w:headerReference w:type="first" r:id="rId20"/>
          <w:footerReference w:type="first" r:id="rId21"/>
          <w:type w:val="continuous"/>
          <w:pgSz w:w="11907" w:h="16840" w:code="9"/>
          <w:pgMar w:top="1134" w:right="567" w:bottom="1134" w:left="567" w:header="0" w:footer="454" w:gutter="0"/>
          <w:cols w:num="2" w:space="720"/>
          <w:noEndnote/>
          <w:titlePg/>
          <w:docGrid w:linePitch="272"/>
        </w:sectPr>
      </w:pPr>
    </w:p>
    <w:p w14:paraId="0EF5A5A0" w14:textId="765706E5" w:rsidR="00FB2A81" w:rsidRDefault="00914BCA" w:rsidP="00AB02FD">
      <w:pPr>
        <w:spacing w:before="0" w:after="0" w:line="240" w:lineRule="auto"/>
        <w:rPr>
          <w:rFonts w:asciiTheme="majorHAnsi" w:eastAsiaTheme="majorEastAsia" w:hAnsiTheme="majorHAnsi" w:cstheme="majorBidi"/>
          <w:b/>
          <w:bCs/>
          <w:color w:val="333F48" w:themeColor="accent1"/>
          <w:sz w:val="24"/>
          <w:szCs w:val="28"/>
        </w:rPr>
      </w:pPr>
      <w:r w:rsidRPr="0060065B">
        <w:rPr>
          <w:b/>
          <w:bCs/>
          <w:noProof/>
          <w:lang w:eastAsia="en-AU"/>
        </w:rPr>
        <mc:AlternateContent>
          <mc:Choice Requires="wps">
            <w:drawing>
              <wp:anchor distT="360045" distB="0" distL="114300" distR="114300" simplePos="0" relativeHeight="251658240" behindDoc="0" locked="0" layoutInCell="0" allowOverlap="1" wp14:anchorId="0DEE0E99" wp14:editId="0CB100D6">
                <wp:simplePos x="0" y="0"/>
                <wp:positionH relativeFrom="page">
                  <wp:align>left</wp:align>
                </wp:positionH>
                <wp:positionV relativeFrom="page">
                  <wp:posOffset>8446770</wp:posOffset>
                </wp:positionV>
                <wp:extent cx="7560000" cy="323342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000" cy="3233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75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5"/>
                              <w:gridCol w:w="5376"/>
                            </w:tblGrid>
                            <w:tr w:rsidR="004B7B0B" w:rsidRPr="00B918C4" w14:paraId="3257BDD8" w14:textId="77777777" w:rsidTr="00A43D8B">
                              <w:tc>
                                <w:tcPr>
                                  <w:tcW w:w="10751" w:type="dxa"/>
                                  <w:gridSpan w:val="2"/>
                                  <w:tcMar>
                                    <w:top w:w="198" w:type="dxa"/>
                                    <w:bottom w:w="85" w:type="dxa"/>
                                  </w:tcMar>
                                </w:tcPr>
                                <w:p w14:paraId="781E02A0" w14:textId="4BC815D0" w:rsidR="004B7B0B" w:rsidRPr="00181F83" w:rsidRDefault="004B7B0B" w:rsidP="004B7B0B">
                                  <w:pPr>
                                    <w:pStyle w:val="Disclaimer"/>
                                  </w:pPr>
                                  <w:r w:rsidRPr="00526092">
                                    <w:rPr>
                                      <w:b/>
                                      <w:bCs/>
                                    </w:rPr>
                                    <w:t>Important information</w:t>
                                  </w:r>
                                  <w:r w:rsidRPr="008462FC">
                                    <w:br/>
                                    <w:t>This document has been prepared by Count Financial Limited ABN 19 001 974 625, AFSL 227232</w:t>
                                  </w:r>
                                  <w:r>
                                    <w:t>.</w:t>
                                  </w:r>
                                  <w:r w:rsidRPr="008462FC">
                                    <w:t xml:space="preserve"> </w:t>
                                  </w:r>
                                  <w:r>
                                    <w:t xml:space="preserve">Count </w:t>
                                  </w:r>
                                  <w:r w:rsidR="00C47ED7">
                                    <w:t xml:space="preserve">Financial </w:t>
                                  </w:r>
                                  <w:r>
                                    <w:t xml:space="preserve">is </w:t>
                                  </w:r>
                                  <w:r w:rsidRPr="000E6A74">
                                    <w:t>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w:t>
                                  </w:r>
                                  <w:r>
                                    <w:t xml:space="preserve"> </w:t>
                                  </w:r>
                                  <w:r w:rsidRPr="008462FC">
                                    <w:t>Count advisers are authorised representatives of Count. Information in this document is based on current regulatory requi</w:t>
                                  </w:r>
                                  <w:r>
                                    <w:t xml:space="preserve">rements and laws, as </w:t>
                                  </w:r>
                                  <w:proofErr w:type="gramStart"/>
                                  <w:r>
                                    <w:t>at</w:t>
                                  </w:r>
                                  <w:proofErr w:type="gramEnd"/>
                                  <w:r>
                                    <w:t xml:space="preserve"> </w:t>
                                  </w:r>
                                  <w:r w:rsidR="00BB543A">
                                    <w:t>2</w:t>
                                  </w:r>
                                  <w:r w:rsidR="008E0922">
                                    <w:t>0</w:t>
                                  </w:r>
                                  <w:r w:rsidR="00665F49">
                                    <w:t xml:space="preserve"> </w:t>
                                  </w:r>
                                  <w:r w:rsidR="00AA6C0E">
                                    <w:t>September</w:t>
                                  </w:r>
                                  <w:r w:rsidR="00AA6C0E">
                                    <w:t xml:space="preserve"> </w:t>
                                  </w:r>
                                  <w:r w:rsidR="00B01101">
                                    <w:t>202</w:t>
                                  </w:r>
                                  <w:r w:rsidR="00C66BEA">
                                    <w:t>3</w:t>
                                  </w:r>
                                  <w:r w:rsidRPr="008462FC">
                                    <w:t xml:space="preserve">, which may be subject to change. While care has been taken in the preparation of this document, no liability is accepted by Count, its related entities, </w:t>
                                  </w:r>
                                  <w:proofErr w:type="gramStart"/>
                                  <w:r w:rsidRPr="008462FC">
                                    <w:t>agents</w:t>
                                  </w:r>
                                  <w:proofErr w:type="gramEnd"/>
                                  <w:r w:rsidRPr="008462FC">
                                    <w:t xml:space="preserve">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w:t>
                                  </w:r>
                                  <w:r w:rsidR="00CE6164" w:rsidRPr="008462FC">
                                    <w:t>However,</w:t>
                                  </w:r>
                                  <w:r w:rsidRPr="008462FC">
                                    <w:t xml:space="preserve">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4B7B0B" w:rsidRPr="00B918C4" w14:paraId="00736EB0" w14:textId="77777777" w:rsidTr="00A43D8B">
                              <w:tc>
                                <w:tcPr>
                                  <w:tcW w:w="10751" w:type="dxa"/>
                                  <w:gridSpan w:val="2"/>
                                  <w:tcMar>
                                    <w:top w:w="85" w:type="dxa"/>
                                    <w:bottom w:w="85" w:type="dxa"/>
                                  </w:tcMar>
                                </w:tcPr>
                                <w:p w14:paraId="6B1ADBE9" w14:textId="531ABA55" w:rsidR="004B7B0B" w:rsidRPr="00181F83" w:rsidRDefault="00483132" w:rsidP="00181F83">
                                  <w:pPr>
                                    <w:pStyle w:val="Disclaimer"/>
                                  </w:pPr>
                                  <w:r>
                                    <w:rPr>
                                      <w:noProof/>
                                    </w:rPr>
                                    <w:drawing>
                                      <wp:inline distT="0" distB="0" distL="0" distR="0" wp14:anchorId="436B2EB6" wp14:editId="01EBE22C">
                                        <wp:extent cx="1440000" cy="396000"/>
                                        <wp:effectExtent l="0" t="0" r="8255" b="4445"/>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0000" cy="396000"/>
                                                </a:xfrm>
                                                <a:prstGeom prst="rect">
                                                  <a:avLst/>
                                                </a:prstGeom>
                                                <a:noFill/>
                                                <a:ln>
                                                  <a:noFill/>
                                                </a:ln>
                                              </pic:spPr>
                                            </pic:pic>
                                          </a:graphicData>
                                        </a:graphic>
                                      </wp:inline>
                                    </w:drawing>
                                  </w:r>
                                </w:p>
                              </w:tc>
                            </w:tr>
                            <w:tr w:rsidR="004B7B0B" w:rsidRPr="00B918C4" w14:paraId="1A9D55E0" w14:textId="77777777" w:rsidTr="00A43D8B">
                              <w:tc>
                                <w:tcPr>
                                  <w:tcW w:w="5375" w:type="dxa"/>
                                  <w:tcMar>
                                    <w:top w:w="85" w:type="dxa"/>
                                    <w:bottom w:w="85" w:type="dxa"/>
                                  </w:tcMar>
                                </w:tcPr>
                                <w:p w14:paraId="6769FEEC" w14:textId="5DD667F9" w:rsidR="004B7B0B" w:rsidRPr="00AD60C0" w:rsidRDefault="004B7B0B" w:rsidP="00AD60C0"/>
                              </w:tc>
                              <w:tc>
                                <w:tcPr>
                                  <w:tcW w:w="5376" w:type="dxa"/>
                                </w:tcPr>
                                <w:p w14:paraId="68658B49" w14:textId="395D802C" w:rsidR="004B7B0B" w:rsidRPr="00AD60C0" w:rsidRDefault="004B7B0B" w:rsidP="00DB06A0">
                                  <w:pPr>
                                    <w:jc w:val="right"/>
                                  </w:pPr>
                                </w:p>
                              </w:tc>
                            </w:tr>
                            <w:tr w:rsidR="004B7B0B" w:rsidRPr="00B918C4" w14:paraId="7616148D" w14:textId="77777777" w:rsidTr="00A43D8B">
                              <w:tc>
                                <w:tcPr>
                                  <w:tcW w:w="5375" w:type="dxa"/>
                                  <w:tcMar>
                                    <w:top w:w="85" w:type="dxa"/>
                                    <w:bottom w:w="85" w:type="dxa"/>
                                  </w:tcMar>
                                </w:tcPr>
                                <w:p w14:paraId="20F42A80" w14:textId="77777777" w:rsidR="004B7B0B" w:rsidRDefault="004B7B0B" w:rsidP="00AD60C0"/>
                                <w:p w14:paraId="520F25D9" w14:textId="77777777" w:rsidR="004B7B0B" w:rsidRDefault="004B7B0B" w:rsidP="00AD60C0"/>
                                <w:p w14:paraId="2A2BDC43" w14:textId="77777777" w:rsidR="004B7B0B" w:rsidRDefault="004B7B0B" w:rsidP="00AD60C0"/>
                              </w:tc>
                              <w:tc>
                                <w:tcPr>
                                  <w:tcW w:w="5376" w:type="dxa"/>
                                </w:tcPr>
                                <w:p w14:paraId="6FADB56D" w14:textId="77777777" w:rsidR="004B7B0B" w:rsidRDefault="004B7B0B" w:rsidP="00DB06A0">
                                  <w:pPr>
                                    <w:jc w:val="right"/>
                                    <w:rPr>
                                      <w:noProof/>
                                      <w:lang w:bidi="hi-IN"/>
                                    </w:rPr>
                                  </w:pPr>
                                </w:p>
                              </w:tc>
                            </w:tr>
                          </w:tbl>
                          <w:p w14:paraId="481F4C19" w14:textId="77777777" w:rsidR="004B7B0B" w:rsidRPr="00B416FE" w:rsidRDefault="004B7B0B" w:rsidP="004B7B0B">
                            <w:pPr>
                              <w:pStyle w:val="Disclaimer"/>
                            </w:pPr>
                          </w:p>
                        </w:txbxContent>
                      </wps:txbx>
                      <wps:bodyPr rot="0" spcFirstLastPara="0" vertOverflow="overflow" horzOverflow="overflow" vert="horz" wrap="square" lIns="360000" tIns="45720" rIns="360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EE0E99" id="_x0000_t202" coordsize="21600,21600" o:spt="202" path="m,l,21600r21600,l21600,xe">
                <v:stroke joinstyle="miter"/>
                <v:path gradientshapeok="t" o:connecttype="rect"/>
              </v:shapetype>
              <v:shape id="Text Box 10" o:spid="_x0000_s1026" type="#_x0000_t202" style="position:absolute;margin-left:0;margin-top:665.1pt;width:595.3pt;height:254.6pt;z-index:251658240;visibility:visible;mso-wrap-style:square;mso-width-percent:0;mso-height-percent:0;mso-wrap-distance-left:9pt;mso-wrap-distance-top:28.35pt;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" o:allowincell="f" fillcolor="white [3212]" stroked="f" strokeweight=".5pt">
                <v:textbox style="mso-fit-shape-to-text:t" inset="10mm,,10mm">
                  <w:txbxContent>
                    <w:tbl>
                      <w:tblPr>
                        <w:tblStyle w:val="TableGrid"/>
                        <w:tblW w:w="1075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5"/>
                        <w:gridCol w:w="5376"/>
                      </w:tblGrid>
                      <w:tr w:rsidR="004B7B0B" w:rsidRPr="00B918C4" w14:paraId="3257BDD8" w14:textId="77777777" w:rsidTr="00A43D8B">
                        <w:tc>
                          <w:tcPr>
                            <w:tcW w:w="10751" w:type="dxa"/>
                            <w:gridSpan w:val="2"/>
                            <w:tcMar>
                              <w:top w:w="198" w:type="dxa"/>
                              <w:bottom w:w="85" w:type="dxa"/>
                            </w:tcMar>
                          </w:tcPr>
                          <w:p w14:paraId="781E02A0" w14:textId="4BC815D0" w:rsidR="004B7B0B" w:rsidRPr="00181F83" w:rsidRDefault="004B7B0B" w:rsidP="004B7B0B">
                            <w:pPr>
                              <w:pStyle w:val="Disclaimer"/>
                            </w:pPr>
                            <w:r w:rsidRPr="00526092">
                              <w:rPr>
                                <w:b/>
                                <w:bCs/>
                              </w:rPr>
                              <w:t>Important information</w:t>
                            </w:r>
                            <w:r w:rsidRPr="008462FC">
                              <w:br/>
                              <w:t>This document has been prepared by Count Financial Limited ABN 19 001 974 625, AFSL 227232</w:t>
                            </w:r>
                            <w:r>
                              <w:t>.</w:t>
                            </w:r>
                            <w:r w:rsidRPr="008462FC">
                              <w:t xml:space="preserve"> </w:t>
                            </w:r>
                            <w:r>
                              <w:t xml:space="preserve">Count </w:t>
                            </w:r>
                            <w:r w:rsidR="00C47ED7">
                              <w:t xml:space="preserve">Financial </w:t>
                            </w:r>
                            <w:r>
                              <w:t xml:space="preserve">is </w:t>
                            </w:r>
                            <w:r w:rsidRPr="000E6A74">
                              <w:t>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w:t>
                            </w:r>
                            <w:r>
                              <w:t xml:space="preserve"> </w:t>
                            </w:r>
                            <w:r w:rsidRPr="008462FC">
                              <w:t>Count advisers are authorised representatives of Count. Information in this document is based on current regulatory requi</w:t>
                            </w:r>
                            <w:r>
                              <w:t xml:space="preserve">rements and laws, as </w:t>
                            </w:r>
                            <w:proofErr w:type="gramStart"/>
                            <w:r>
                              <w:t>at</w:t>
                            </w:r>
                            <w:proofErr w:type="gramEnd"/>
                            <w:r>
                              <w:t xml:space="preserve"> </w:t>
                            </w:r>
                            <w:r w:rsidR="00BB543A">
                              <w:t>2</w:t>
                            </w:r>
                            <w:r w:rsidR="008E0922">
                              <w:t>0</w:t>
                            </w:r>
                            <w:r w:rsidR="00665F49">
                              <w:t xml:space="preserve"> </w:t>
                            </w:r>
                            <w:r w:rsidR="00AA6C0E">
                              <w:t>September</w:t>
                            </w:r>
                            <w:r w:rsidR="00AA6C0E">
                              <w:t xml:space="preserve"> </w:t>
                            </w:r>
                            <w:r w:rsidR="00B01101">
                              <w:t>202</w:t>
                            </w:r>
                            <w:r w:rsidR="00C66BEA">
                              <w:t>3</w:t>
                            </w:r>
                            <w:r w:rsidRPr="008462FC">
                              <w:t xml:space="preserve">, which may be subject to change. While care has been taken in the preparation of this document, no liability is accepted by Count, its related entities, </w:t>
                            </w:r>
                            <w:proofErr w:type="gramStart"/>
                            <w:r w:rsidRPr="008462FC">
                              <w:t>agents</w:t>
                            </w:r>
                            <w:proofErr w:type="gramEnd"/>
                            <w:r w:rsidRPr="008462FC">
                              <w:t xml:space="preserve">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w:t>
                            </w:r>
                            <w:r w:rsidR="00CE6164" w:rsidRPr="008462FC">
                              <w:t>However,</w:t>
                            </w:r>
                            <w:r w:rsidRPr="008462FC">
                              <w:t xml:space="preserve">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4B7B0B" w:rsidRPr="00B918C4" w14:paraId="00736EB0" w14:textId="77777777" w:rsidTr="00A43D8B">
                        <w:tc>
                          <w:tcPr>
                            <w:tcW w:w="10751" w:type="dxa"/>
                            <w:gridSpan w:val="2"/>
                            <w:tcMar>
                              <w:top w:w="85" w:type="dxa"/>
                              <w:bottom w:w="85" w:type="dxa"/>
                            </w:tcMar>
                          </w:tcPr>
                          <w:p w14:paraId="6B1ADBE9" w14:textId="531ABA55" w:rsidR="004B7B0B" w:rsidRPr="00181F83" w:rsidRDefault="00483132" w:rsidP="00181F83">
                            <w:pPr>
                              <w:pStyle w:val="Disclaimer"/>
                            </w:pPr>
                            <w:r>
                              <w:rPr>
                                <w:noProof/>
                              </w:rPr>
                              <w:drawing>
                                <wp:inline distT="0" distB="0" distL="0" distR="0" wp14:anchorId="436B2EB6" wp14:editId="01EBE22C">
                                  <wp:extent cx="1440000" cy="396000"/>
                                  <wp:effectExtent l="0" t="0" r="8255" b="4445"/>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0000" cy="396000"/>
                                          </a:xfrm>
                                          <a:prstGeom prst="rect">
                                            <a:avLst/>
                                          </a:prstGeom>
                                          <a:noFill/>
                                          <a:ln>
                                            <a:noFill/>
                                          </a:ln>
                                        </pic:spPr>
                                      </pic:pic>
                                    </a:graphicData>
                                  </a:graphic>
                                </wp:inline>
                              </w:drawing>
                            </w:r>
                          </w:p>
                        </w:tc>
                      </w:tr>
                      <w:tr w:rsidR="004B7B0B" w:rsidRPr="00B918C4" w14:paraId="1A9D55E0" w14:textId="77777777" w:rsidTr="00A43D8B">
                        <w:tc>
                          <w:tcPr>
                            <w:tcW w:w="5375" w:type="dxa"/>
                            <w:tcMar>
                              <w:top w:w="85" w:type="dxa"/>
                              <w:bottom w:w="85" w:type="dxa"/>
                            </w:tcMar>
                          </w:tcPr>
                          <w:p w14:paraId="6769FEEC" w14:textId="5DD667F9" w:rsidR="004B7B0B" w:rsidRPr="00AD60C0" w:rsidRDefault="004B7B0B" w:rsidP="00AD60C0"/>
                        </w:tc>
                        <w:tc>
                          <w:tcPr>
                            <w:tcW w:w="5376" w:type="dxa"/>
                          </w:tcPr>
                          <w:p w14:paraId="68658B49" w14:textId="395D802C" w:rsidR="004B7B0B" w:rsidRPr="00AD60C0" w:rsidRDefault="004B7B0B" w:rsidP="00DB06A0">
                            <w:pPr>
                              <w:jc w:val="right"/>
                            </w:pPr>
                          </w:p>
                        </w:tc>
                      </w:tr>
                      <w:tr w:rsidR="004B7B0B" w:rsidRPr="00B918C4" w14:paraId="7616148D" w14:textId="77777777" w:rsidTr="00A43D8B">
                        <w:tc>
                          <w:tcPr>
                            <w:tcW w:w="5375" w:type="dxa"/>
                            <w:tcMar>
                              <w:top w:w="85" w:type="dxa"/>
                              <w:bottom w:w="85" w:type="dxa"/>
                            </w:tcMar>
                          </w:tcPr>
                          <w:p w14:paraId="20F42A80" w14:textId="77777777" w:rsidR="004B7B0B" w:rsidRDefault="004B7B0B" w:rsidP="00AD60C0"/>
                          <w:p w14:paraId="520F25D9" w14:textId="77777777" w:rsidR="004B7B0B" w:rsidRDefault="004B7B0B" w:rsidP="00AD60C0"/>
                          <w:p w14:paraId="2A2BDC43" w14:textId="77777777" w:rsidR="004B7B0B" w:rsidRDefault="004B7B0B" w:rsidP="00AD60C0"/>
                        </w:tc>
                        <w:tc>
                          <w:tcPr>
                            <w:tcW w:w="5376" w:type="dxa"/>
                          </w:tcPr>
                          <w:p w14:paraId="6FADB56D" w14:textId="77777777" w:rsidR="004B7B0B" w:rsidRDefault="004B7B0B" w:rsidP="00DB06A0">
                            <w:pPr>
                              <w:jc w:val="right"/>
                              <w:rPr>
                                <w:noProof/>
                                <w:lang w:bidi="hi-IN"/>
                              </w:rPr>
                            </w:pPr>
                          </w:p>
                        </w:tc>
                      </w:tr>
                    </w:tbl>
                    <w:p w14:paraId="481F4C19" w14:textId="77777777" w:rsidR="004B7B0B" w:rsidRPr="00B416FE" w:rsidRDefault="004B7B0B" w:rsidP="004B7B0B">
                      <w:pPr>
                        <w:pStyle w:val="Disclaimer"/>
                      </w:pPr>
                    </w:p>
                  </w:txbxContent>
                </v:textbox>
                <w10:wrap anchorx="page" anchory="page"/>
              </v:shape>
            </w:pict>
          </mc:Fallback>
        </mc:AlternateContent>
      </w:r>
    </w:p>
    <w:sectPr w:rsidR="00FB2A81" w:rsidSect="003B4540">
      <w:type w:val="continuous"/>
      <w:pgSz w:w="11907" w:h="16840" w:code="9"/>
      <w:pgMar w:top="1134" w:right="567" w:bottom="1134" w:left="567" w:header="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0677" w14:textId="77777777" w:rsidR="00311674" w:rsidRDefault="00311674" w:rsidP="00FE09BB">
      <w:r>
        <w:separator/>
      </w:r>
    </w:p>
  </w:endnote>
  <w:endnote w:type="continuationSeparator" w:id="0">
    <w:p w14:paraId="3675BC7D" w14:textId="77777777" w:rsidR="00311674" w:rsidRDefault="00311674" w:rsidP="00FE09BB">
      <w:r>
        <w:continuationSeparator/>
      </w:r>
    </w:p>
  </w:endnote>
  <w:endnote w:type="continuationNotice" w:id="1">
    <w:p w14:paraId="18B35CDF" w14:textId="77777777" w:rsidR="00311674" w:rsidRDefault="003116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DBCE" w14:textId="77777777" w:rsidR="00090219" w:rsidRDefault="00090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6235" w14:textId="77777777" w:rsidR="00090219" w:rsidRDefault="00090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079F" w14:textId="77777777" w:rsidR="00090219" w:rsidRDefault="000902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CD22" w14:textId="61341524" w:rsidR="00475923" w:rsidRPr="008E276F" w:rsidRDefault="00475923" w:rsidP="008E27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BB55" w14:textId="77777777" w:rsidR="00475923" w:rsidRDefault="00475923" w:rsidP="00347B15">
    <w:pPr>
      <w:pStyle w:val="Footer"/>
    </w:pPr>
    <w:proofErr w:type="gramStart"/>
    <w:r>
      <w:t>Adviser</w:t>
    </w:r>
    <w:proofErr w:type="gramEnd"/>
    <w:r>
      <w:t xml:space="preserv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3A70" w14:textId="77777777" w:rsidR="00311674" w:rsidRDefault="00311674" w:rsidP="002444B6">
      <w:pPr>
        <w:spacing w:before="0" w:after="0" w:line="240" w:lineRule="auto"/>
      </w:pPr>
      <w:r>
        <w:separator/>
      </w:r>
    </w:p>
  </w:footnote>
  <w:footnote w:type="continuationSeparator" w:id="0">
    <w:p w14:paraId="2B4ABC4D" w14:textId="77777777" w:rsidR="00311674" w:rsidRDefault="00311674" w:rsidP="00FE09BB">
      <w:r>
        <w:continuationSeparator/>
      </w:r>
    </w:p>
  </w:footnote>
  <w:footnote w:type="continuationNotice" w:id="1">
    <w:p w14:paraId="7B8AA5E7" w14:textId="77777777" w:rsidR="00311674" w:rsidRDefault="003116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34E4" w14:textId="77777777" w:rsidR="00090219" w:rsidRDefault="00090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3E91" w14:textId="77777777" w:rsidR="00090219" w:rsidRDefault="00090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44A" w14:textId="5575EC9C" w:rsidR="007D280A" w:rsidRDefault="003A0D3E">
    <w:pPr>
      <w:pStyle w:val="Header"/>
    </w:pPr>
    <w:r>
      <w:rPr>
        <w:noProof/>
      </w:rPr>
      <w:drawing>
        <wp:anchor distT="0" distB="0" distL="114300" distR="114300" simplePos="0" relativeHeight="251659264" behindDoc="0" locked="0" layoutInCell="1" allowOverlap="1" wp14:anchorId="3E4337AE" wp14:editId="7A990902">
          <wp:simplePos x="0" y="0"/>
          <wp:positionH relativeFrom="page">
            <wp:align>right</wp:align>
          </wp:positionH>
          <wp:positionV relativeFrom="paragraph">
            <wp:posOffset>0</wp:posOffset>
          </wp:positionV>
          <wp:extent cx="7562318" cy="1657350"/>
          <wp:effectExtent l="0" t="0" r="635" b="0"/>
          <wp:wrapNone/>
          <wp:docPr id="102459953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99532"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318" cy="165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9B8F" w14:textId="77777777" w:rsidR="00475923" w:rsidRDefault="00475923" w:rsidP="00F41370">
    <w:pPr>
      <w:pStyle w:val="Header"/>
      <w:ind w:hanging="567"/>
    </w:pPr>
    <w:r>
      <w:rPr>
        <w:noProof/>
        <w:lang w:eastAsia="en-AU"/>
      </w:rPr>
      <mc:AlternateContent>
        <mc:Choice Requires="wps">
          <w:drawing>
            <wp:anchor distT="0" distB="0" distL="114300" distR="114300" simplePos="0" relativeHeight="251658240" behindDoc="0" locked="1" layoutInCell="1" allowOverlap="1" wp14:anchorId="54A58A55" wp14:editId="6DB8D377">
              <wp:simplePos x="0" y="0"/>
              <wp:positionH relativeFrom="page">
                <wp:posOffset>539750</wp:posOffset>
              </wp:positionH>
              <wp:positionV relativeFrom="page">
                <wp:posOffset>4658995</wp:posOffset>
              </wp:positionV>
              <wp:extent cx="6825615" cy="1647825"/>
              <wp:effectExtent l="0" t="0" r="1333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6478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A68CA" w14:textId="77777777" w:rsidR="00475923" w:rsidRDefault="00475923" w:rsidP="00FE09BB">
                          <w:pPr>
                            <w:rPr>
                              <w:color w:val="FFFFFF" w:themeColor="background1"/>
                            </w:rPr>
                          </w:pPr>
                          <w:r>
                            <w:rPr>
                              <w:color w:val="FFFFFF" w:themeColor="background1"/>
                            </w:rPr>
                            <w:t>October 2014</w:t>
                          </w:r>
                        </w:p>
                        <w:p w14:paraId="5142CE7F" w14:textId="77777777" w:rsidR="00475923" w:rsidRPr="00F547CA" w:rsidRDefault="00475923" w:rsidP="00FE09BB">
                          <w:pPr>
                            <w:rPr>
                              <w:color w:val="FFFFFF" w:themeColor="background1"/>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58A55" id="_x0000_t202" coordsize="21600,21600" o:spt="202" path="m,l,21600r21600,l21600,xe">
              <v:stroke joinstyle="miter"/>
              <v:path gradientshapeok="t" o:connecttype="rect"/>
            </v:shapetype>
            <v:shape id="Text Box 11" o:spid="_x0000_s1027" type="#_x0000_t202" style="position:absolute;margin-left:42.5pt;margin-top:366.85pt;width:537.45pt;height:12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" filled="f" fillcolor="yellow" stroked="f">
              <v:textbox inset=",,0">
                <w:txbxContent>
                  <w:p w14:paraId="146A68CA" w14:textId="77777777" w:rsidR="00475923" w:rsidRDefault="00475923" w:rsidP="00FE09BB">
                    <w:pPr>
                      <w:rPr>
                        <w:color w:val="FFFFFF" w:themeColor="background1"/>
                      </w:rPr>
                    </w:pPr>
                    <w:r>
                      <w:rPr>
                        <w:color w:val="FFFFFF" w:themeColor="background1"/>
                      </w:rPr>
                      <w:t>October 2014</w:t>
                    </w:r>
                  </w:p>
                  <w:p w14:paraId="5142CE7F" w14:textId="77777777" w:rsidR="00475923" w:rsidRPr="00F547CA" w:rsidRDefault="00475923" w:rsidP="00FE09BB">
                    <w:pPr>
                      <w:rPr>
                        <w:color w:val="FFFFFF" w:themeColor="background1"/>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CB4"/>
    <w:multiLevelType w:val="hybridMultilevel"/>
    <w:tmpl w:val="B21C8322"/>
    <w:lvl w:ilvl="0" w:tplc="DC00972A">
      <w:start w:val="1"/>
      <w:numFmt w:val="bullet"/>
      <w:lvlText w:val=""/>
      <w:lvlJc w:val="left"/>
      <w:pPr>
        <w:ind w:left="720" w:hanging="360"/>
      </w:pPr>
      <w:rPr>
        <w:rFonts w:ascii="Symbol" w:hAnsi="Symbol" w:hint="default"/>
        <w:color w:val="009ED7"/>
        <w:u w:color="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B4FB1"/>
    <w:multiLevelType w:val="hybridMultilevel"/>
    <w:tmpl w:val="E264B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21049F"/>
    <w:multiLevelType w:val="hybridMultilevel"/>
    <w:tmpl w:val="EBD0179E"/>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647DC2"/>
    <w:multiLevelType w:val="hybridMultilevel"/>
    <w:tmpl w:val="D6DEBC8A"/>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D6174D"/>
    <w:multiLevelType w:val="hybridMultilevel"/>
    <w:tmpl w:val="22BCCDE8"/>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BE49C6"/>
    <w:multiLevelType w:val="hybridMultilevel"/>
    <w:tmpl w:val="DBE80828"/>
    <w:lvl w:ilvl="0" w:tplc="DC00972A">
      <w:start w:val="1"/>
      <w:numFmt w:val="bullet"/>
      <w:lvlText w:val=""/>
      <w:lvlJc w:val="left"/>
      <w:pPr>
        <w:ind w:left="363" w:hanging="360"/>
      </w:pPr>
      <w:rPr>
        <w:rFonts w:ascii="Symbol" w:hAnsi="Symbol" w:hint="default"/>
        <w:color w:val="009ED7"/>
        <w:u w:color="000000"/>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6" w15:restartNumberingAfterBreak="0">
    <w:nsid w:val="1C634323"/>
    <w:multiLevelType w:val="hybridMultilevel"/>
    <w:tmpl w:val="044AE6D4"/>
    <w:lvl w:ilvl="0" w:tplc="DC00972A">
      <w:start w:val="1"/>
      <w:numFmt w:val="bullet"/>
      <w:lvlText w:val=""/>
      <w:lvlJc w:val="left"/>
      <w:pPr>
        <w:ind w:left="720" w:hanging="360"/>
      </w:pPr>
      <w:rPr>
        <w:rFonts w:ascii="Symbol" w:hAnsi="Symbol" w:hint="default"/>
        <w:color w:val="009ED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F2D8B"/>
    <w:multiLevelType w:val="hybridMultilevel"/>
    <w:tmpl w:val="EC82BEC6"/>
    <w:lvl w:ilvl="0" w:tplc="DC00972A">
      <w:start w:val="1"/>
      <w:numFmt w:val="bullet"/>
      <w:lvlText w:val=""/>
      <w:lvlJc w:val="left"/>
      <w:pPr>
        <w:ind w:left="720" w:hanging="360"/>
      </w:pPr>
      <w:rPr>
        <w:rFonts w:ascii="Symbol" w:hAnsi="Symbol" w:hint="default"/>
        <w:color w:val="009ED7"/>
        <w:u w:color="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B7BE9"/>
    <w:multiLevelType w:val="hybridMultilevel"/>
    <w:tmpl w:val="FCA4BF74"/>
    <w:lvl w:ilvl="0" w:tplc="DC00972A">
      <w:start w:val="1"/>
      <w:numFmt w:val="bullet"/>
      <w:lvlText w:val=""/>
      <w:lvlJc w:val="left"/>
      <w:pPr>
        <w:ind w:left="720" w:hanging="360"/>
      </w:pPr>
      <w:rPr>
        <w:rFonts w:ascii="Symbol" w:hAnsi="Symbol" w:hint="default"/>
        <w:color w:val="009ED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A212B"/>
    <w:multiLevelType w:val="hybridMultilevel"/>
    <w:tmpl w:val="4E3CC312"/>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717975"/>
    <w:multiLevelType w:val="hybridMultilevel"/>
    <w:tmpl w:val="16AAC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1B62AF"/>
    <w:multiLevelType w:val="hybridMultilevel"/>
    <w:tmpl w:val="1A0EDEF6"/>
    <w:lvl w:ilvl="0" w:tplc="DC00972A">
      <w:start w:val="1"/>
      <w:numFmt w:val="bullet"/>
      <w:lvlText w:val=""/>
      <w:lvlJc w:val="left"/>
      <w:pPr>
        <w:ind w:left="720" w:hanging="360"/>
      </w:pPr>
      <w:rPr>
        <w:rFonts w:ascii="Symbol" w:hAnsi="Symbol" w:hint="default"/>
        <w:color w:val="009ED7"/>
        <w:u w:color="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E41867"/>
    <w:multiLevelType w:val="hybridMultilevel"/>
    <w:tmpl w:val="BCD6EE34"/>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DE6273"/>
    <w:multiLevelType w:val="hybridMultilevel"/>
    <w:tmpl w:val="5AB42D08"/>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4A3F21"/>
    <w:multiLevelType w:val="hybridMultilevel"/>
    <w:tmpl w:val="1472A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413978"/>
    <w:multiLevelType w:val="hybridMultilevel"/>
    <w:tmpl w:val="C55040F8"/>
    <w:lvl w:ilvl="0" w:tplc="DC00972A">
      <w:start w:val="1"/>
      <w:numFmt w:val="bullet"/>
      <w:lvlText w:val=""/>
      <w:lvlJc w:val="left"/>
      <w:pPr>
        <w:ind w:left="360" w:hanging="360"/>
      </w:pPr>
      <w:rPr>
        <w:rFonts w:ascii="Symbol" w:hAnsi="Symbol" w:hint="default"/>
        <w:color w:val="009ED7"/>
        <w:u w:color="00000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920481"/>
    <w:multiLevelType w:val="hybridMultilevel"/>
    <w:tmpl w:val="094AAE10"/>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B720E6"/>
    <w:multiLevelType w:val="hybridMultilevel"/>
    <w:tmpl w:val="93DE2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2E7FC1"/>
    <w:multiLevelType w:val="hybridMultilevel"/>
    <w:tmpl w:val="C554B52C"/>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466797"/>
    <w:multiLevelType w:val="hybridMultilevel"/>
    <w:tmpl w:val="D94858B6"/>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6452E6"/>
    <w:multiLevelType w:val="hybridMultilevel"/>
    <w:tmpl w:val="F89E4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F26DE3"/>
    <w:multiLevelType w:val="hybridMultilevel"/>
    <w:tmpl w:val="167042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9397A5C"/>
    <w:multiLevelType w:val="hybridMultilevel"/>
    <w:tmpl w:val="C5CC9D1C"/>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7D0671"/>
    <w:multiLevelType w:val="hybridMultilevel"/>
    <w:tmpl w:val="4A807E2E"/>
    <w:lvl w:ilvl="0" w:tplc="DC00972A">
      <w:start w:val="1"/>
      <w:numFmt w:val="bullet"/>
      <w:lvlText w:val=""/>
      <w:lvlJc w:val="left"/>
      <w:pPr>
        <w:ind w:left="1434" w:hanging="360"/>
      </w:pPr>
      <w:rPr>
        <w:rFonts w:ascii="Symbol" w:hAnsi="Symbol" w:hint="default"/>
        <w:color w:val="009ED7"/>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4" w15:restartNumberingAfterBreak="0">
    <w:nsid w:val="72D10ED4"/>
    <w:multiLevelType w:val="hybridMultilevel"/>
    <w:tmpl w:val="F82E9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32641EF"/>
    <w:multiLevelType w:val="hybridMultilevel"/>
    <w:tmpl w:val="78B05AA4"/>
    <w:lvl w:ilvl="0" w:tplc="DC00972A">
      <w:start w:val="1"/>
      <w:numFmt w:val="bullet"/>
      <w:lvlText w:val=""/>
      <w:lvlJc w:val="left"/>
      <w:pPr>
        <w:ind w:left="720" w:hanging="360"/>
      </w:pPr>
      <w:rPr>
        <w:rFonts w:ascii="Symbol" w:hAnsi="Symbol" w:hint="default"/>
        <w:color w:val="009ED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A432A0"/>
    <w:multiLevelType w:val="hybridMultilevel"/>
    <w:tmpl w:val="E94A41D0"/>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610970"/>
    <w:multiLevelType w:val="hybridMultilevel"/>
    <w:tmpl w:val="5DEEF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A339D7"/>
    <w:multiLevelType w:val="hybridMultilevel"/>
    <w:tmpl w:val="7CECD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B7E5ED4"/>
    <w:multiLevelType w:val="hybridMultilevel"/>
    <w:tmpl w:val="0EBEF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AB4AFB"/>
    <w:multiLevelType w:val="hybridMultilevel"/>
    <w:tmpl w:val="1BEEF60C"/>
    <w:lvl w:ilvl="0" w:tplc="ABEAC4E6">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79431026">
    <w:abstractNumId w:val="16"/>
  </w:num>
  <w:num w:numId="2" w16cid:durableId="994187646">
    <w:abstractNumId w:val="17"/>
  </w:num>
  <w:num w:numId="3" w16cid:durableId="778187449">
    <w:abstractNumId w:val="30"/>
  </w:num>
  <w:num w:numId="4" w16cid:durableId="237399763">
    <w:abstractNumId w:val="15"/>
  </w:num>
  <w:num w:numId="5" w16cid:durableId="1345784140">
    <w:abstractNumId w:val="11"/>
  </w:num>
  <w:num w:numId="6" w16cid:durableId="1085490135">
    <w:abstractNumId w:val="5"/>
  </w:num>
  <w:num w:numId="7" w16cid:durableId="103816475">
    <w:abstractNumId w:val="26"/>
  </w:num>
  <w:num w:numId="8" w16cid:durableId="423112086">
    <w:abstractNumId w:val="20"/>
  </w:num>
  <w:num w:numId="9" w16cid:durableId="1144157637">
    <w:abstractNumId w:val="7"/>
  </w:num>
  <w:num w:numId="10" w16cid:durableId="930620334">
    <w:abstractNumId w:val="0"/>
  </w:num>
  <w:num w:numId="11" w16cid:durableId="1631978793">
    <w:abstractNumId w:val="19"/>
  </w:num>
  <w:num w:numId="12" w16cid:durableId="581305049">
    <w:abstractNumId w:val="18"/>
  </w:num>
  <w:num w:numId="13" w16cid:durableId="760687447">
    <w:abstractNumId w:val="8"/>
  </w:num>
  <w:num w:numId="14" w16cid:durableId="1085149189">
    <w:abstractNumId w:val="25"/>
  </w:num>
  <w:num w:numId="15" w16cid:durableId="701170303">
    <w:abstractNumId w:val="9"/>
  </w:num>
  <w:num w:numId="16" w16cid:durableId="245001428">
    <w:abstractNumId w:val="12"/>
  </w:num>
  <w:num w:numId="17" w16cid:durableId="287784267">
    <w:abstractNumId w:val="6"/>
  </w:num>
  <w:num w:numId="18" w16cid:durableId="872042152">
    <w:abstractNumId w:val="23"/>
  </w:num>
  <w:num w:numId="19" w16cid:durableId="36127098">
    <w:abstractNumId w:val="3"/>
  </w:num>
  <w:num w:numId="20" w16cid:durableId="283658789">
    <w:abstractNumId w:val="13"/>
  </w:num>
  <w:num w:numId="21" w16cid:durableId="291253131">
    <w:abstractNumId w:val="22"/>
  </w:num>
  <w:num w:numId="22" w16cid:durableId="12462404">
    <w:abstractNumId w:val="2"/>
  </w:num>
  <w:num w:numId="23" w16cid:durableId="355809612">
    <w:abstractNumId w:val="4"/>
  </w:num>
  <w:num w:numId="24" w16cid:durableId="2063019422">
    <w:abstractNumId w:val="1"/>
  </w:num>
  <w:num w:numId="25" w16cid:durableId="1829666603">
    <w:abstractNumId w:val="27"/>
  </w:num>
  <w:num w:numId="26" w16cid:durableId="442042152">
    <w:abstractNumId w:val="10"/>
  </w:num>
  <w:num w:numId="27" w16cid:durableId="15818300">
    <w:abstractNumId w:val="24"/>
  </w:num>
  <w:num w:numId="28" w16cid:durableId="1234655855">
    <w:abstractNumId w:val="21"/>
  </w:num>
  <w:num w:numId="29" w16cid:durableId="523830417">
    <w:abstractNumId w:val="14"/>
  </w:num>
  <w:num w:numId="30" w16cid:durableId="919172726">
    <w:abstractNumId w:val="28"/>
  </w:num>
  <w:num w:numId="31" w16cid:durableId="934478728">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DB"/>
    <w:rsid w:val="000043C0"/>
    <w:rsid w:val="0000476C"/>
    <w:rsid w:val="000053FD"/>
    <w:rsid w:val="00010AAF"/>
    <w:rsid w:val="000147AD"/>
    <w:rsid w:val="00021BF2"/>
    <w:rsid w:val="00023E8E"/>
    <w:rsid w:val="00024A84"/>
    <w:rsid w:val="00033266"/>
    <w:rsid w:val="00034579"/>
    <w:rsid w:val="00034D53"/>
    <w:rsid w:val="000546C3"/>
    <w:rsid w:val="00055DAA"/>
    <w:rsid w:val="00055E62"/>
    <w:rsid w:val="000615E9"/>
    <w:rsid w:val="00063656"/>
    <w:rsid w:val="0007381F"/>
    <w:rsid w:val="00080473"/>
    <w:rsid w:val="000806B8"/>
    <w:rsid w:val="0008116B"/>
    <w:rsid w:val="000850D6"/>
    <w:rsid w:val="000869FE"/>
    <w:rsid w:val="00087863"/>
    <w:rsid w:val="00090219"/>
    <w:rsid w:val="00090757"/>
    <w:rsid w:val="0009189B"/>
    <w:rsid w:val="0009209A"/>
    <w:rsid w:val="000943C5"/>
    <w:rsid w:val="0009731D"/>
    <w:rsid w:val="000977AC"/>
    <w:rsid w:val="000A0877"/>
    <w:rsid w:val="000B056A"/>
    <w:rsid w:val="000B1AE3"/>
    <w:rsid w:val="000B1ED7"/>
    <w:rsid w:val="000B719B"/>
    <w:rsid w:val="000B7753"/>
    <w:rsid w:val="000C0D1B"/>
    <w:rsid w:val="000C0D7E"/>
    <w:rsid w:val="000C3D34"/>
    <w:rsid w:val="000C5DD2"/>
    <w:rsid w:val="000C6950"/>
    <w:rsid w:val="000D0FA1"/>
    <w:rsid w:val="000D218F"/>
    <w:rsid w:val="000D6D7B"/>
    <w:rsid w:val="000E1F77"/>
    <w:rsid w:val="000E5328"/>
    <w:rsid w:val="000E572C"/>
    <w:rsid w:val="000F2603"/>
    <w:rsid w:val="000F3918"/>
    <w:rsid w:val="000F7977"/>
    <w:rsid w:val="001017BF"/>
    <w:rsid w:val="00106627"/>
    <w:rsid w:val="00111A30"/>
    <w:rsid w:val="00112AE2"/>
    <w:rsid w:val="00114701"/>
    <w:rsid w:val="00114741"/>
    <w:rsid w:val="00121CF5"/>
    <w:rsid w:val="00124D1B"/>
    <w:rsid w:val="00126756"/>
    <w:rsid w:val="00130C52"/>
    <w:rsid w:val="00135865"/>
    <w:rsid w:val="00137685"/>
    <w:rsid w:val="00137E84"/>
    <w:rsid w:val="00141B53"/>
    <w:rsid w:val="00142BF9"/>
    <w:rsid w:val="0014337A"/>
    <w:rsid w:val="00144627"/>
    <w:rsid w:val="00144E16"/>
    <w:rsid w:val="001536AE"/>
    <w:rsid w:val="001553D0"/>
    <w:rsid w:val="00155774"/>
    <w:rsid w:val="001600B2"/>
    <w:rsid w:val="001670C5"/>
    <w:rsid w:val="00170E36"/>
    <w:rsid w:val="0017105D"/>
    <w:rsid w:val="00175845"/>
    <w:rsid w:val="00182856"/>
    <w:rsid w:val="00186BBE"/>
    <w:rsid w:val="00190791"/>
    <w:rsid w:val="001A1110"/>
    <w:rsid w:val="001A7A97"/>
    <w:rsid w:val="001B157D"/>
    <w:rsid w:val="001B6CB5"/>
    <w:rsid w:val="001C0DCB"/>
    <w:rsid w:val="001C2001"/>
    <w:rsid w:val="001D1397"/>
    <w:rsid w:val="001D1A39"/>
    <w:rsid w:val="001D7C7A"/>
    <w:rsid w:val="001E2825"/>
    <w:rsid w:val="001E3E6E"/>
    <w:rsid w:val="001E4CAE"/>
    <w:rsid w:val="001E58C1"/>
    <w:rsid w:val="001F26EA"/>
    <w:rsid w:val="001F4560"/>
    <w:rsid w:val="001F47F8"/>
    <w:rsid w:val="001F69DE"/>
    <w:rsid w:val="0020079B"/>
    <w:rsid w:val="002028E9"/>
    <w:rsid w:val="0020315D"/>
    <w:rsid w:val="00205F69"/>
    <w:rsid w:val="002073C8"/>
    <w:rsid w:val="00211478"/>
    <w:rsid w:val="002142A6"/>
    <w:rsid w:val="002168A2"/>
    <w:rsid w:val="00220400"/>
    <w:rsid w:val="00220FB7"/>
    <w:rsid w:val="00221038"/>
    <w:rsid w:val="002240FC"/>
    <w:rsid w:val="0022761F"/>
    <w:rsid w:val="0023155E"/>
    <w:rsid w:val="002319E9"/>
    <w:rsid w:val="00233041"/>
    <w:rsid w:val="0023409C"/>
    <w:rsid w:val="002344C7"/>
    <w:rsid w:val="00234587"/>
    <w:rsid w:val="002363D0"/>
    <w:rsid w:val="00236665"/>
    <w:rsid w:val="00237B26"/>
    <w:rsid w:val="002431A0"/>
    <w:rsid w:val="002444B6"/>
    <w:rsid w:val="00245981"/>
    <w:rsid w:val="00250463"/>
    <w:rsid w:val="00257720"/>
    <w:rsid w:val="00264C91"/>
    <w:rsid w:val="00265E88"/>
    <w:rsid w:val="00266077"/>
    <w:rsid w:val="00267237"/>
    <w:rsid w:val="00270CE9"/>
    <w:rsid w:val="00271883"/>
    <w:rsid w:val="0027505A"/>
    <w:rsid w:val="0027625C"/>
    <w:rsid w:val="00280FEF"/>
    <w:rsid w:val="00284A37"/>
    <w:rsid w:val="002857C5"/>
    <w:rsid w:val="0028774F"/>
    <w:rsid w:val="00287CD8"/>
    <w:rsid w:val="002929CD"/>
    <w:rsid w:val="00292EF3"/>
    <w:rsid w:val="002B5D86"/>
    <w:rsid w:val="002C066F"/>
    <w:rsid w:val="002C33DC"/>
    <w:rsid w:val="002C4C74"/>
    <w:rsid w:val="002C515B"/>
    <w:rsid w:val="002C6906"/>
    <w:rsid w:val="002D5CFC"/>
    <w:rsid w:val="002E1535"/>
    <w:rsid w:val="002E233E"/>
    <w:rsid w:val="002E36B7"/>
    <w:rsid w:val="002E420C"/>
    <w:rsid w:val="002E787D"/>
    <w:rsid w:val="002F100E"/>
    <w:rsid w:val="0030009A"/>
    <w:rsid w:val="003025F0"/>
    <w:rsid w:val="00302FE9"/>
    <w:rsid w:val="003035E6"/>
    <w:rsid w:val="00304F36"/>
    <w:rsid w:val="00305F7A"/>
    <w:rsid w:val="00307AA6"/>
    <w:rsid w:val="00311674"/>
    <w:rsid w:val="00312F9F"/>
    <w:rsid w:val="003130AE"/>
    <w:rsid w:val="00314FA1"/>
    <w:rsid w:val="00315D2F"/>
    <w:rsid w:val="003162E4"/>
    <w:rsid w:val="0032212A"/>
    <w:rsid w:val="00326422"/>
    <w:rsid w:val="00326E2E"/>
    <w:rsid w:val="00333E85"/>
    <w:rsid w:val="00347B15"/>
    <w:rsid w:val="00355138"/>
    <w:rsid w:val="00361A97"/>
    <w:rsid w:val="00362B34"/>
    <w:rsid w:val="00364C60"/>
    <w:rsid w:val="00364D77"/>
    <w:rsid w:val="0036552C"/>
    <w:rsid w:val="00365A81"/>
    <w:rsid w:val="00366B9A"/>
    <w:rsid w:val="00382103"/>
    <w:rsid w:val="003A0D3E"/>
    <w:rsid w:val="003A5C39"/>
    <w:rsid w:val="003A721E"/>
    <w:rsid w:val="003A797C"/>
    <w:rsid w:val="003B0715"/>
    <w:rsid w:val="003B4540"/>
    <w:rsid w:val="003B532E"/>
    <w:rsid w:val="003C46F1"/>
    <w:rsid w:val="003D4918"/>
    <w:rsid w:val="003E0506"/>
    <w:rsid w:val="003E273A"/>
    <w:rsid w:val="003E3094"/>
    <w:rsid w:val="003E37D7"/>
    <w:rsid w:val="003E3894"/>
    <w:rsid w:val="003E50BE"/>
    <w:rsid w:val="003E5E14"/>
    <w:rsid w:val="003E7611"/>
    <w:rsid w:val="003E7E34"/>
    <w:rsid w:val="003F27E8"/>
    <w:rsid w:val="003F37ED"/>
    <w:rsid w:val="003F6CFC"/>
    <w:rsid w:val="00400A59"/>
    <w:rsid w:val="00403353"/>
    <w:rsid w:val="00413F05"/>
    <w:rsid w:val="00420F32"/>
    <w:rsid w:val="00422520"/>
    <w:rsid w:val="00422BD8"/>
    <w:rsid w:val="00423430"/>
    <w:rsid w:val="00423ABE"/>
    <w:rsid w:val="0043183F"/>
    <w:rsid w:val="0043323C"/>
    <w:rsid w:val="00435F22"/>
    <w:rsid w:val="004411E7"/>
    <w:rsid w:val="0044377A"/>
    <w:rsid w:val="00446B18"/>
    <w:rsid w:val="00446B9E"/>
    <w:rsid w:val="004549CA"/>
    <w:rsid w:val="00462F67"/>
    <w:rsid w:val="004710E7"/>
    <w:rsid w:val="00473E33"/>
    <w:rsid w:val="004742B7"/>
    <w:rsid w:val="00475923"/>
    <w:rsid w:val="00480492"/>
    <w:rsid w:val="00483132"/>
    <w:rsid w:val="004858BC"/>
    <w:rsid w:val="004864E7"/>
    <w:rsid w:val="004867BE"/>
    <w:rsid w:val="00486E45"/>
    <w:rsid w:val="00487E3B"/>
    <w:rsid w:val="004922BA"/>
    <w:rsid w:val="004977ED"/>
    <w:rsid w:val="004A0D5B"/>
    <w:rsid w:val="004A3253"/>
    <w:rsid w:val="004B7B0B"/>
    <w:rsid w:val="004C2F98"/>
    <w:rsid w:val="004C7051"/>
    <w:rsid w:val="004D0110"/>
    <w:rsid w:val="004D32CC"/>
    <w:rsid w:val="004D36F4"/>
    <w:rsid w:val="004E00A8"/>
    <w:rsid w:val="004E27E5"/>
    <w:rsid w:val="004E2C07"/>
    <w:rsid w:val="004E5CBC"/>
    <w:rsid w:val="004F05BC"/>
    <w:rsid w:val="004F6CBA"/>
    <w:rsid w:val="004F6DE7"/>
    <w:rsid w:val="004F7048"/>
    <w:rsid w:val="005002AF"/>
    <w:rsid w:val="00500BC5"/>
    <w:rsid w:val="00511CBB"/>
    <w:rsid w:val="005165D8"/>
    <w:rsid w:val="005230C5"/>
    <w:rsid w:val="00526092"/>
    <w:rsid w:val="00526A92"/>
    <w:rsid w:val="00526B17"/>
    <w:rsid w:val="00526C9D"/>
    <w:rsid w:val="00531C92"/>
    <w:rsid w:val="00533B04"/>
    <w:rsid w:val="00536ED9"/>
    <w:rsid w:val="005433D5"/>
    <w:rsid w:val="00543FF3"/>
    <w:rsid w:val="00546B9F"/>
    <w:rsid w:val="0055444C"/>
    <w:rsid w:val="0055547C"/>
    <w:rsid w:val="00556DDC"/>
    <w:rsid w:val="0055755C"/>
    <w:rsid w:val="00560F74"/>
    <w:rsid w:val="00570BBC"/>
    <w:rsid w:val="00571602"/>
    <w:rsid w:val="00572B1E"/>
    <w:rsid w:val="00584990"/>
    <w:rsid w:val="0059104F"/>
    <w:rsid w:val="005934B1"/>
    <w:rsid w:val="005964A7"/>
    <w:rsid w:val="005A1651"/>
    <w:rsid w:val="005A4F77"/>
    <w:rsid w:val="005A5415"/>
    <w:rsid w:val="005A6ED8"/>
    <w:rsid w:val="005A70BD"/>
    <w:rsid w:val="005B5A14"/>
    <w:rsid w:val="005D2BB6"/>
    <w:rsid w:val="005D5F8C"/>
    <w:rsid w:val="005E552C"/>
    <w:rsid w:val="005E75DD"/>
    <w:rsid w:val="005F0345"/>
    <w:rsid w:val="005F3BDC"/>
    <w:rsid w:val="006009E0"/>
    <w:rsid w:val="00601335"/>
    <w:rsid w:val="00603039"/>
    <w:rsid w:val="00603C00"/>
    <w:rsid w:val="006107F1"/>
    <w:rsid w:val="00615036"/>
    <w:rsid w:val="006156AF"/>
    <w:rsid w:val="006179FB"/>
    <w:rsid w:val="006246E1"/>
    <w:rsid w:val="006274AA"/>
    <w:rsid w:val="00632270"/>
    <w:rsid w:val="00632278"/>
    <w:rsid w:val="006335C3"/>
    <w:rsid w:val="00634DAD"/>
    <w:rsid w:val="00636DD3"/>
    <w:rsid w:val="006374D8"/>
    <w:rsid w:val="00640521"/>
    <w:rsid w:val="00654619"/>
    <w:rsid w:val="006548F5"/>
    <w:rsid w:val="00660B54"/>
    <w:rsid w:val="00660BAC"/>
    <w:rsid w:val="00661533"/>
    <w:rsid w:val="00665069"/>
    <w:rsid w:val="00665333"/>
    <w:rsid w:val="00665540"/>
    <w:rsid w:val="00665F49"/>
    <w:rsid w:val="006706B8"/>
    <w:rsid w:val="0067136F"/>
    <w:rsid w:val="00671D5E"/>
    <w:rsid w:val="00672227"/>
    <w:rsid w:val="0067588C"/>
    <w:rsid w:val="00677E64"/>
    <w:rsid w:val="00682ACD"/>
    <w:rsid w:val="00686F89"/>
    <w:rsid w:val="00687ACC"/>
    <w:rsid w:val="00691C58"/>
    <w:rsid w:val="006921F2"/>
    <w:rsid w:val="00696A3A"/>
    <w:rsid w:val="006975B8"/>
    <w:rsid w:val="006A4A07"/>
    <w:rsid w:val="006B3973"/>
    <w:rsid w:val="006B713D"/>
    <w:rsid w:val="006C0D6A"/>
    <w:rsid w:val="006C1F3F"/>
    <w:rsid w:val="006C6496"/>
    <w:rsid w:val="006D3598"/>
    <w:rsid w:val="006D6542"/>
    <w:rsid w:val="006E0135"/>
    <w:rsid w:val="006E0381"/>
    <w:rsid w:val="006E068B"/>
    <w:rsid w:val="006E0F32"/>
    <w:rsid w:val="006E36E5"/>
    <w:rsid w:val="006E4226"/>
    <w:rsid w:val="006E4903"/>
    <w:rsid w:val="006E60F2"/>
    <w:rsid w:val="006E6F1C"/>
    <w:rsid w:val="006F0FBB"/>
    <w:rsid w:val="006F2084"/>
    <w:rsid w:val="006F583A"/>
    <w:rsid w:val="006F7A6F"/>
    <w:rsid w:val="006F7F12"/>
    <w:rsid w:val="00702643"/>
    <w:rsid w:val="00702EA4"/>
    <w:rsid w:val="007038FD"/>
    <w:rsid w:val="00706504"/>
    <w:rsid w:val="007070EB"/>
    <w:rsid w:val="00714278"/>
    <w:rsid w:val="00716595"/>
    <w:rsid w:val="00721681"/>
    <w:rsid w:val="00721778"/>
    <w:rsid w:val="0072195D"/>
    <w:rsid w:val="00722901"/>
    <w:rsid w:val="00722A9F"/>
    <w:rsid w:val="007236C6"/>
    <w:rsid w:val="0073164F"/>
    <w:rsid w:val="00731E26"/>
    <w:rsid w:val="00737687"/>
    <w:rsid w:val="007431AA"/>
    <w:rsid w:val="00745E41"/>
    <w:rsid w:val="00746DFF"/>
    <w:rsid w:val="0075037B"/>
    <w:rsid w:val="007550CD"/>
    <w:rsid w:val="0076158A"/>
    <w:rsid w:val="00761AB7"/>
    <w:rsid w:val="00762A2F"/>
    <w:rsid w:val="0076313B"/>
    <w:rsid w:val="00764F03"/>
    <w:rsid w:val="007759DC"/>
    <w:rsid w:val="00775A58"/>
    <w:rsid w:val="00777712"/>
    <w:rsid w:val="007832CB"/>
    <w:rsid w:val="0078383A"/>
    <w:rsid w:val="00783D34"/>
    <w:rsid w:val="00785243"/>
    <w:rsid w:val="007855AD"/>
    <w:rsid w:val="007909EE"/>
    <w:rsid w:val="00790E71"/>
    <w:rsid w:val="0079214A"/>
    <w:rsid w:val="007924A8"/>
    <w:rsid w:val="00792FDC"/>
    <w:rsid w:val="00793785"/>
    <w:rsid w:val="007A2AE9"/>
    <w:rsid w:val="007A32D4"/>
    <w:rsid w:val="007A397A"/>
    <w:rsid w:val="007A3A07"/>
    <w:rsid w:val="007A5FE8"/>
    <w:rsid w:val="007A6D10"/>
    <w:rsid w:val="007A7266"/>
    <w:rsid w:val="007B4DEF"/>
    <w:rsid w:val="007B63C6"/>
    <w:rsid w:val="007C4C41"/>
    <w:rsid w:val="007C531E"/>
    <w:rsid w:val="007C664B"/>
    <w:rsid w:val="007D280A"/>
    <w:rsid w:val="007D615D"/>
    <w:rsid w:val="007D6B21"/>
    <w:rsid w:val="007F121E"/>
    <w:rsid w:val="007F3E88"/>
    <w:rsid w:val="007F7C35"/>
    <w:rsid w:val="00811A0E"/>
    <w:rsid w:val="008168E8"/>
    <w:rsid w:val="00821534"/>
    <w:rsid w:val="0082378B"/>
    <w:rsid w:val="0082438A"/>
    <w:rsid w:val="0083062B"/>
    <w:rsid w:val="0083154E"/>
    <w:rsid w:val="00832DC5"/>
    <w:rsid w:val="00844E24"/>
    <w:rsid w:val="0084578A"/>
    <w:rsid w:val="00846174"/>
    <w:rsid w:val="008528DD"/>
    <w:rsid w:val="00854E1D"/>
    <w:rsid w:val="00857AC3"/>
    <w:rsid w:val="00862B44"/>
    <w:rsid w:val="00863866"/>
    <w:rsid w:val="008647BD"/>
    <w:rsid w:val="00864A56"/>
    <w:rsid w:val="0086784D"/>
    <w:rsid w:val="008711BE"/>
    <w:rsid w:val="00884DE5"/>
    <w:rsid w:val="008860F6"/>
    <w:rsid w:val="00886EA7"/>
    <w:rsid w:val="00887C7A"/>
    <w:rsid w:val="00891A08"/>
    <w:rsid w:val="00893F6E"/>
    <w:rsid w:val="00897341"/>
    <w:rsid w:val="008A0507"/>
    <w:rsid w:val="008A4420"/>
    <w:rsid w:val="008A4BD9"/>
    <w:rsid w:val="008A533B"/>
    <w:rsid w:val="008C13D1"/>
    <w:rsid w:val="008C1F3F"/>
    <w:rsid w:val="008C27AE"/>
    <w:rsid w:val="008C3741"/>
    <w:rsid w:val="008C556E"/>
    <w:rsid w:val="008C6092"/>
    <w:rsid w:val="008C7B94"/>
    <w:rsid w:val="008C7BB8"/>
    <w:rsid w:val="008D64DF"/>
    <w:rsid w:val="008E0922"/>
    <w:rsid w:val="008E276F"/>
    <w:rsid w:val="00901335"/>
    <w:rsid w:val="00903833"/>
    <w:rsid w:val="00905590"/>
    <w:rsid w:val="00905635"/>
    <w:rsid w:val="0090612A"/>
    <w:rsid w:val="00907976"/>
    <w:rsid w:val="00911900"/>
    <w:rsid w:val="0091405C"/>
    <w:rsid w:val="00914BCA"/>
    <w:rsid w:val="00922A4D"/>
    <w:rsid w:val="00934A60"/>
    <w:rsid w:val="009370F3"/>
    <w:rsid w:val="0093795A"/>
    <w:rsid w:val="00940E1E"/>
    <w:rsid w:val="009436FA"/>
    <w:rsid w:val="0094529E"/>
    <w:rsid w:val="00946262"/>
    <w:rsid w:val="0094661C"/>
    <w:rsid w:val="00950432"/>
    <w:rsid w:val="00952808"/>
    <w:rsid w:val="0095330F"/>
    <w:rsid w:val="009633E2"/>
    <w:rsid w:val="00965041"/>
    <w:rsid w:val="00965D88"/>
    <w:rsid w:val="00965ECB"/>
    <w:rsid w:val="00967F39"/>
    <w:rsid w:val="00971663"/>
    <w:rsid w:val="009752D5"/>
    <w:rsid w:val="00983818"/>
    <w:rsid w:val="0098455F"/>
    <w:rsid w:val="009856C1"/>
    <w:rsid w:val="00986756"/>
    <w:rsid w:val="00987947"/>
    <w:rsid w:val="009A12B4"/>
    <w:rsid w:val="009A2625"/>
    <w:rsid w:val="009A6192"/>
    <w:rsid w:val="009B4136"/>
    <w:rsid w:val="009C03DD"/>
    <w:rsid w:val="009C3444"/>
    <w:rsid w:val="009D3830"/>
    <w:rsid w:val="009D6336"/>
    <w:rsid w:val="009E09BF"/>
    <w:rsid w:val="009E120B"/>
    <w:rsid w:val="009E1A7C"/>
    <w:rsid w:val="009E2BFF"/>
    <w:rsid w:val="009E4F4A"/>
    <w:rsid w:val="009F4BA7"/>
    <w:rsid w:val="009F6AFF"/>
    <w:rsid w:val="00A00C7C"/>
    <w:rsid w:val="00A02F68"/>
    <w:rsid w:val="00A03C03"/>
    <w:rsid w:val="00A03EF8"/>
    <w:rsid w:val="00A0516C"/>
    <w:rsid w:val="00A07CE2"/>
    <w:rsid w:val="00A1198D"/>
    <w:rsid w:val="00A160D6"/>
    <w:rsid w:val="00A22D65"/>
    <w:rsid w:val="00A23526"/>
    <w:rsid w:val="00A23F9E"/>
    <w:rsid w:val="00A311BF"/>
    <w:rsid w:val="00A334B8"/>
    <w:rsid w:val="00A339B5"/>
    <w:rsid w:val="00A409B7"/>
    <w:rsid w:val="00A53E74"/>
    <w:rsid w:val="00A53F7D"/>
    <w:rsid w:val="00A55819"/>
    <w:rsid w:val="00A56375"/>
    <w:rsid w:val="00A56D43"/>
    <w:rsid w:val="00A61ED4"/>
    <w:rsid w:val="00A6697C"/>
    <w:rsid w:val="00A704BD"/>
    <w:rsid w:val="00A71877"/>
    <w:rsid w:val="00A72C90"/>
    <w:rsid w:val="00A73F97"/>
    <w:rsid w:val="00A746D3"/>
    <w:rsid w:val="00A75839"/>
    <w:rsid w:val="00A82FBB"/>
    <w:rsid w:val="00A847AF"/>
    <w:rsid w:val="00A87AE5"/>
    <w:rsid w:val="00A930F5"/>
    <w:rsid w:val="00A93F64"/>
    <w:rsid w:val="00A95127"/>
    <w:rsid w:val="00AA04B8"/>
    <w:rsid w:val="00AA50C3"/>
    <w:rsid w:val="00AA6C0E"/>
    <w:rsid w:val="00AB02FD"/>
    <w:rsid w:val="00AB21F6"/>
    <w:rsid w:val="00AB3AB8"/>
    <w:rsid w:val="00AC0959"/>
    <w:rsid w:val="00AC1ACC"/>
    <w:rsid w:val="00AC1F77"/>
    <w:rsid w:val="00AC227B"/>
    <w:rsid w:val="00AC4816"/>
    <w:rsid w:val="00AD37B1"/>
    <w:rsid w:val="00AE00A5"/>
    <w:rsid w:val="00AE178B"/>
    <w:rsid w:val="00AF26D8"/>
    <w:rsid w:val="00AF3894"/>
    <w:rsid w:val="00B00D12"/>
    <w:rsid w:val="00B01101"/>
    <w:rsid w:val="00B03BA0"/>
    <w:rsid w:val="00B058E8"/>
    <w:rsid w:val="00B15D3D"/>
    <w:rsid w:val="00B15DCA"/>
    <w:rsid w:val="00B36E5D"/>
    <w:rsid w:val="00B416FE"/>
    <w:rsid w:val="00B42EB6"/>
    <w:rsid w:val="00B438A4"/>
    <w:rsid w:val="00B439C8"/>
    <w:rsid w:val="00B465C0"/>
    <w:rsid w:val="00B50574"/>
    <w:rsid w:val="00B516E0"/>
    <w:rsid w:val="00B5470F"/>
    <w:rsid w:val="00B54B40"/>
    <w:rsid w:val="00B566A8"/>
    <w:rsid w:val="00B6238A"/>
    <w:rsid w:val="00B6426E"/>
    <w:rsid w:val="00B70C82"/>
    <w:rsid w:val="00B76A9C"/>
    <w:rsid w:val="00B778AD"/>
    <w:rsid w:val="00B84DD2"/>
    <w:rsid w:val="00B90695"/>
    <w:rsid w:val="00B94DAD"/>
    <w:rsid w:val="00BA147B"/>
    <w:rsid w:val="00BA2CDA"/>
    <w:rsid w:val="00BA68EA"/>
    <w:rsid w:val="00BA753E"/>
    <w:rsid w:val="00BB0500"/>
    <w:rsid w:val="00BB08E0"/>
    <w:rsid w:val="00BB543A"/>
    <w:rsid w:val="00BC4B04"/>
    <w:rsid w:val="00BC7238"/>
    <w:rsid w:val="00BD3C8F"/>
    <w:rsid w:val="00BD416E"/>
    <w:rsid w:val="00BD57E3"/>
    <w:rsid w:val="00BD5BDA"/>
    <w:rsid w:val="00BE015E"/>
    <w:rsid w:val="00BE09E4"/>
    <w:rsid w:val="00BE0A08"/>
    <w:rsid w:val="00BE0C4E"/>
    <w:rsid w:val="00BE126D"/>
    <w:rsid w:val="00BE3530"/>
    <w:rsid w:val="00BE3EA9"/>
    <w:rsid w:val="00BE459A"/>
    <w:rsid w:val="00BE5DD6"/>
    <w:rsid w:val="00BE6E3A"/>
    <w:rsid w:val="00BE7DDD"/>
    <w:rsid w:val="00BF6B52"/>
    <w:rsid w:val="00BF6BCC"/>
    <w:rsid w:val="00BF794F"/>
    <w:rsid w:val="00BF79A2"/>
    <w:rsid w:val="00C01529"/>
    <w:rsid w:val="00C0378F"/>
    <w:rsid w:val="00C05BD3"/>
    <w:rsid w:val="00C06BFB"/>
    <w:rsid w:val="00C202B8"/>
    <w:rsid w:val="00C21944"/>
    <w:rsid w:val="00C24A22"/>
    <w:rsid w:val="00C25273"/>
    <w:rsid w:val="00C33D17"/>
    <w:rsid w:val="00C41190"/>
    <w:rsid w:val="00C47ED7"/>
    <w:rsid w:val="00C503B2"/>
    <w:rsid w:val="00C548F8"/>
    <w:rsid w:val="00C624F3"/>
    <w:rsid w:val="00C66BEA"/>
    <w:rsid w:val="00C67F65"/>
    <w:rsid w:val="00C70C26"/>
    <w:rsid w:val="00C7341E"/>
    <w:rsid w:val="00C7557D"/>
    <w:rsid w:val="00C8276B"/>
    <w:rsid w:val="00C850C4"/>
    <w:rsid w:val="00C85EC7"/>
    <w:rsid w:val="00C87BBA"/>
    <w:rsid w:val="00C9077A"/>
    <w:rsid w:val="00C949A2"/>
    <w:rsid w:val="00CA6217"/>
    <w:rsid w:val="00CA6FC4"/>
    <w:rsid w:val="00CA7164"/>
    <w:rsid w:val="00CA7468"/>
    <w:rsid w:val="00CB0BA8"/>
    <w:rsid w:val="00CB2E01"/>
    <w:rsid w:val="00CB56D4"/>
    <w:rsid w:val="00CB6E5E"/>
    <w:rsid w:val="00CD1EBB"/>
    <w:rsid w:val="00CD3F73"/>
    <w:rsid w:val="00CD43D4"/>
    <w:rsid w:val="00CD4BD1"/>
    <w:rsid w:val="00CD52F2"/>
    <w:rsid w:val="00CD7A38"/>
    <w:rsid w:val="00CE0EF0"/>
    <w:rsid w:val="00CE2151"/>
    <w:rsid w:val="00CE32D2"/>
    <w:rsid w:val="00CE3EE2"/>
    <w:rsid w:val="00CE6164"/>
    <w:rsid w:val="00CE7A87"/>
    <w:rsid w:val="00CF06BD"/>
    <w:rsid w:val="00CF4F3D"/>
    <w:rsid w:val="00CF7056"/>
    <w:rsid w:val="00CF72AD"/>
    <w:rsid w:val="00D004CB"/>
    <w:rsid w:val="00D103B3"/>
    <w:rsid w:val="00D143DA"/>
    <w:rsid w:val="00D23123"/>
    <w:rsid w:val="00D24E65"/>
    <w:rsid w:val="00D2534D"/>
    <w:rsid w:val="00D27085"/>
    <w:rsid w:val="00D31EFB"/>
    <w:rsid w:val="00D33807"/>
    <w:rsid w:val="00D36583"/>
    <w:rsid w:val="00D419F5"/>
    <w:rsid w:val="00D50373"/>
    <w:rsid w:val="00D57ECF"/>
    <w:rsid w:val="00D61808"/>
    <w:rsid w:val="00D6366F"/>
    <w:rsid w:val="00D6469B"/>
    <w:rsid w:val="00D64B96"/>
    <w:rsid w:val="00D732D9"/>
    <w:rsid w:val="00D73E25"/>
    <w:rsid w:val="00D7439D"/>
    <w:rsid w:val="00D838C2"/>
    <w:rsid w:val="00D8434B"/>
    <w:rsid w:val="00D84DC3"/>
    <w:rsid w:val="00D85231"/>
    <w:rsid w:val="00D87160"/>
    <w:rsid w:val="00D9179B"/>
    <w:rsid w:val="00D937AE"/>
    <w:rsid w:val="00D93DD8"/>
    <w:rsid w:val="00D9592A"/>
    <w:rsid w:val="00DA0AA1"/>
    <w:rsid w:val="00DA2583"/>
    <w:rsid w:val="00DA40B5"/>
    <w:rsid w:val="00DB1695"/>
    <w:rsid w:val="00DB3706"/>
    <w:rsid w:val="00DC0427"/>
    <w:rsid w:val="00DC1D4F"/>
    <w:rsid w:val="00DC3386"/>
    <w:rsid w:val="00DC3970"/>
    <w:rsid w:val="00DC4560"/>
    <w:rsid w:val="00DC5C61"/>
    <w:rsid w:val="00DC65A9"/>
    <w:rsid w:val="00DD21BE"/>
    <w:rsid w:val="00DD21EB"/>
    <w:rsid w:val="00DD440A"/>
    <w:rsid w:val="00DD4B38"/>
    <w:rsid w:val="00DD6DC0"/>
    <w:rsid w:val="00DE4213"/>
    <w:rsid w:val="00DE66BE"/>
    <w:rsid w:val="00DF735D"/>
    <w:rsid w:val="00E000A2"/>
    <w:rsid w:val="00E01191"/>
    <w:rsid w:val="00E0272A"/>
    <w:rsid w:val="00E10A00"/>
    <w:rsid w:val="00E17C72"/>
    <w:rsid w:val="00E2492A"/>
    <w:rsid w:val="00E30C3B"/>
    <w:rsid w:val="00E31001"/>
    <w:rsid w:val="00E33169"/>
    <w:rsid w:val="00E33B62"/>
    <w:rsid w:val="00E456CE"/>
    <w:rsid w:val="00E45E04"/>
    <w:rsid w:val="00E46122"/>
    <w:rsid w:val="00E53696"/>
    <w:rsid w:val="00E56466"/>
    <w:rsid w:val="00E614E2"/>
    <w:rsid w:val="00E71E48"/>
    <w:rsid w:val="00E7579B"/>
    <w:rsid w:val="00E76685"/>
    <w:rsid w:val="00E802B0"/>
    <w:rsid w:val="00E84CA5"/>
    <w:rsid w:val="00E92EB2"/>
    <w:rsid w:val="00E93560"/>
    <w:rsid w:val="00E961AE"/>
    <w:rsid w:val="00EA08E6"/>
    <w:rsid w:val="00EA112D"/>
    <w:rsid w:val="00EA638B"/>
    <w:rsid w:val="00EA63DA"/>
    <w:rsid w:val="00EB1DD7"/>
    <w:rsid w:val="00EB408B"/>
    <w:rsid w:val="00EB63E4"/>
    <w:rsid w:val="00EB6EA6"/>
    <w:rsid w:val="00EB7A7F"/>
    <w:rsid w:val="00EC6F09"/>
    <w:rsid w:val="00ED5269"/>
    <w:rsid w:val="00ED73FD"/>
    <w:rsid w:val="00EE1145"/>
    <w:rsid w:val="00EE2C99"/>
    <w:rsid w:val="00EE76AD"/>
    <w:rsid w:val="00EF31DC"/>
    <w:rsid w:val="00EF4BB0"/>
    <w:rsid w:val="00F01AA6"/>
    <w:rsid w:val="00F01FEC"/>
    <w:rsid w:val="00F023A3"/>
    <w:rsid w:val="00F05AED"/>
    <w:rsid w:val="00F07497"/>
    <w:rsid w:val="00F12994"/>
    <w:rsid w:val="00F12DA6"/>
    <w:rsid w:val="00F13803"/>
    <w:rsid w:val="00F254C3"/>
    <w:rsid w:val="00F3027A"/>
    <w:rsid w:val="00F31055"/>
    <w:rsid w:val="00F31083"/>
    <w:rsid w:val="00F327ED"/>
    <w:rsid w:val="00F355A0"/>
    <w:rsid w:val="00F35DD4"/>
    <w:rsid w:val="00F36F24"/>
    <w:rsid w:val="00F41370"/>
    <w:rsid w:val="00F423B0"/>
    <w:rsid w:val="00F547CA"/>
    <w:rsid w:val="00F5581D"/>
    <w:rsid w:val="00F642DB"/>
    <w:rsid w:val="00F6775C"/>
    <w:rsid w:val="00F7531B"/>
    <w:rsid w:val="00F767D6"/>
    <w:rsid w:val="00F8187C"/>
    <w:rsid w:val="00F81FE8"/>
    <w:rsid w:val="00F8232C"/>
    <w:rsid w:val="00F8786F"/>
    <w:rsid w:val="00F87BE4"/>
    <w:rsid w:val="00F87D24"/>
    <w:rsid w:val="00FA4768"/>
    <w:rsid w:val="00FA5E83"/>
    <w:rsid w:val="00FB1051"/>
    <w:rsid w:val="00FB11E9"/>
    <w:rsid w:val="00FB2A81"/>
    <w:rsid w:val="00FC4152"/>
    <w:rsid w:val="00FC58D6"/>
    <w:rsid w:val="00FC7C30"/>
    <w:rsid w:val="00FD2DD0"/>
    <w:rsid w:val="00FE09BB"/>
    <w:rsid w:val="00FE6FE3"/>
    <w:rsid w:val="00FF15A7"/>
    <w:rsid w:val="00FF6ED1"/>
    <w:rsid w:val="00FF7216"/>
  </w:rsids>
  <m:mathPr>
    <m:mathFont m:val="Cambria Math"/>
    <m:brkBin m:val="before"/>
    <m:brkBinSub m:val="--"/>
    <m:smallFrac m:val="0"/>
    <m:dispDef m:val="0"/>
    <m:lMargin m:val="0"/>
    <m:rMargin m:val="0"/>
    <m:defJc m:val="centerGroup"/>
    <m:wrapRight/>
    <m:intLim m:val="subSup"/>
    <m:naryLim m:val="subSup"/>
  </m:mathPr>
  <w:themeFontLang w:val="en-AU"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8BC78"/>
  <w15:docId w15:val="{3F0868C2-7A12-4DBF-908F-E4F5B429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qFormat="1"/>
    <w:lsdException w:name="heading 4" w:semiHidden="1" w:uiPriority="9" w:unhideWhenUsed="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73"/>
    <w:pPr>
      <w:spacing w:before="120" w:after="120" w:line="264" w:lineRule="auto"/>
    </w:pPr>
    <w:rPr>
      <w:rFonts w:asciiTheme="minorHAnsi" w:eastAsia="Times New Roman" w:hAnsiTheme="minorHAnsi"/>
      <w:szCs w:val="24"/>
    </w:rPr>
  </w:style>
  <w:style w:type="paragraph" w:styleId="Heading1">
    <w:name w:val="heading 1"/>
    <w:basedOn w:val="Normal"/>
    <w:next w:val="Normal"/>
    <w:link w:val="Heading1Char"/>
    <w:uiPriority w:val="1"/>
    <w:qFormat/>
    <w:rsid w:val="00746DFF"/>
    <w:pPr>
      <w:keepNext/>
      <w:keepLines/>
      <w:spacing w:before="240"/>
      <w:contextualSpacing/>
      <w:outlineLvl w:val="0"/>
    </w:pPr>
    <w:rPr>
      <w:rFonts w:asciiTheme="majorHAnsi" w:eastAsiaTheme="majorEastAsia" w:hAnsiTheme="majorHAnsi" w:cstheme="majorBidi"/>
      <w:b/>
      <w:bCs/>
      <w:color w:val="333F48" w:themeColor="accent1"/>
      <w:sz w:val="24"/>
      <w:szCs w:val="28"/>
    </w:rPr>
  </w:style>
  <w:style w:type="paragraph" w:styleId="Heading2">
    <w:name w:val="heading 2"/>
    <w:basedOn w:val="Normal"/>
    <w:next w:val="Normal"/>
    <w:link w:val="Heading2Char"/>
    <w:uiPriority w:val="1"/>
    <w:qFormat/>
    <w:rsid w:val="00304F36"/>
    <w:pPr>
      <w:keepNext/>
      <w:keepLines/>
      <w:spacing w:before="240"/>
      <w:contextualSpacing/>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1"/>
    <w:qFormat/>
    <w:rsid w:val="00DC65A9"/>
    <w:pPr>
      <w:keepNext/>
      <w:keepLines/>
      <w:contextualSpacing/>
      <w:outlineLvl w:val="2"/>
    </w:pPr>
    <w:rPr>
      <w:rFonts w:asciiTheme="majorHAnsi" w:eastAsiaTheme="majorEastAsia" w:hAnsiTheme="majorHAnsi" w:cstheme="majorBidi"/>
      <w:b/>
      <w:bCs/>
      <w:i/>
    </w:rPr>
  </w:style>
  <w:style w:type="paragraph" w:styleId="Heading4">
    <w:name w:val="heading 4"/>
    <w:basedOn w:val="Normal"/>
    <w:next w:val="Normal"/>
    <w:link w:val="Heading4Char"/>
    <w:semiHidden/>
    <w:rsid w:val="00A07CE2"/>
    <w:pPr>
      <w:keepNext/>
      <w:keepLines/>
      <w:contextualSpacing/>
      <w:outlineLvl w:val="3"/>
    </w:pPr>
    <w:rPr>
      <w:rFonts w:asciiTheme="majorHAnsi" w:eastAsiaTheme="majorEastAsia" w:hAnsiTheme="majorHAnsi" w:cstheme="majorBidi"/>
      <w:b/>
      <w:bCs/>
      <w:iCs/>
      <w:color w:val="4D90C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uiPriority w:val="99"/>
    <w:rsid w:val="00B5470F"/>
    <w:pPr>
      <w:spacing w:before="0" w:after="360" w:line="240" w:lineRule="auto"/>
      <w:contextualSpacing/>
    </w:pPr>
    <w:rPr>
      <w:b/>
      <w:noProof/>
      <w:color w:val="333F48" w:themeColor="accent1"/>
      <w:sz w:val="24"/>
      <w:szCs w:val="28"/>
      <w:lang w:eastAsia="en-AU"/>
    </w:rPr>
  </w:style>
  <w:style w:type="paragraph" w:styleId="Header">
    <w:name w:val="header"/>
    <w:basedOn w:val="Normal"/>
    <w:semiHidden/>
    <w:rsid w:val="000971C7"/>
    <w:pPr>
      <w:tabs>
        <w:tab w:val="center" w:pos="4153"/>
        <w:tab w:val="right" w:pos="8306"/>
      </w:tabs>
    </w:pPr>
  </w:style>
  <w:style w:type="paragraph" w:styleId="Footer">
    <w:name w:val="footer"/>
    <w:basedOn w:val="Normal"/>
    <w:link w:val="FooterChar"/>
    <w:uiPriority w:val="99"/>
    <w:rsid w:val="004549CA"/>
    <w:pPr>
      <w:tabs>
        <w:tab w:val="center" w:pos="4153"/>
        <w:tab w:val="right" w:pos="8306"/>
      </w:tabs>
      <w:spacing w:before="0" w:after="0" w:line="240" w:lineRule="auto"/>
      <w:jc w:val="right"/>
    </w:pPr>
    <w:rPr>
      <w:b/>
      <w:color w:val="BFBFBF" w:themeColor="background1" w:themeShade="BF"/>
    </w:rPr>
  </w:style>
  <w:style w:type="paragraph" w:customStyle="1" w:styleId="ChartHeading">
    <w:name w:val="Chart Heading"/>
    <w:basedOn w:val="Normal"/>
    <w:next w:val="Normal"/>
    <w:uiPriority w:val="2"/>
    <w:qFormat/>
    <w:rsid w:val="00CB2E01"/>
    <w:pPr>
      <w:keepNext/>
      <w:keepLines/>
      <w:spacing w:before="240" w:after="0"/>
      <w:contextualSpacing/>
    </w:pPr>
    <w:rPr>
      <w:rFonts w:cstheme="minorHAnsi"/>
      <w:b/>
      <w:caps/>
    </w:rPr>
  </w:style>
  <w:style w:type="paragraph" w:customStyle="1" w:styleId="Source">
    <w:name w:val="Source"/>
    <w:basedOn w:val="Normal"/>
    <w:next w:val="Normal"/>
    <w:uiPriority w:val="99"/>
    <w:qFormat/>
    <w:rsid w:val="00347B15"/>
    <w:pPr>
      <w:spacing w:after="240"/>
      <w:contextualSpacing/>
    </w:pPr>
    <w:rPr>
      <w:rFonts w:cstheme="minorHAnsi"/>
      <w:sz w:val="16"/>
      <w:szCs w:val="16"/>
    </w:rPr>
  </w:style>
  <w:style w:type="table" w:styleId="MediumShading1-Accent1">
    <w:name w:val="Medium Shading 1 Accent 1"/>
    <w:aliases w:val="Default table design"/>
    <w:basedOn w:val="TableNormal"/>
    <w:uiPriority w:val="63"/>
    <w:rsid w:val="00264C91"/>
    <w:rPr>
      <w:rFonts w:asciiTheme="minorHAnsi" w:hAnsiTheme="minorHAnsi"/>
      <w:sz w:val="18"/>
    </w:rPr>
    <w:tblPr>
      <w:tblStyleRowBandSize w:val="1"/>
      <w:tblStyleColBandSize w:val="1"/>
      <w:tblInd w:w="85" w:type="dxa"/>
      <w:tblBorders>
        <w:top w:val="single" w:sz="4" w:space="0" w:color="333F48" w:themeColor="accent1"/>
        <w:left w:val="single" w:sz="4" w:space="0" w:color="333F48" w:themeColor="accent1"/>
        <w:bottom w:val="single" w:sz="4" w:space="0" w:color="333F48" w:themeColor="accent1"/>
        <w:right w:val="single" w:sz="4" w:space="0" w:color="333F48" w:themeColor="accent1"/>
        <w:insideH w:val="single" w:sz="4" w:space="0" w:color="333F48" w:themeColor="accent1"/>
        <w:insideV w:val="single" w:sz="4" w:space="0" w:color="333F48" w:themeColor="accent1"/>
      </w:tblBorders>
      <w:tblCellMar>
        <w:top w:w="28" w:type="dxa"/>
        <w:left w:w="85" w:type="dxa"/>
        <w:bottom w:w="28" w:type="dxa"/>
        <w:right w:w="85" w:type="dxa"/>
      </w:tblCellMar>
    </w:tblPr>
    <w:tblStylePr w:type="firstRow">
      <w:pPr>
        <w:spacing w:before="0" w:after="0" w:line="240" w:lineRule="auto"/>
      </w:pPr>
      <w:rPr>
        <w:b/>
        <w:bCs/>
        <w:color w:val="FFFFFF" w:themeColor="background1"/>
      </w:rPr>
      <w:tblPr/>
      <w:tcPr>
        <w:tcBorders>
          <w:top w:val="single" w:sz="4" w:space="0" w:color="333F48" w:themeColor="accent1"/>
          <w:left w:val="single" w:sz="4" w:space="0" w:color="333F48" w:themeColor="accent1"/>
          <w:bottom w:val="single" w:sz="4" w:space="0" w:color="333F48" w:themeColor="accent1"/>
          <w:right w:val="single" w:sz="4" w:space="0" w:color="333F48" w:themeColor="accent1"/>
          <w:insideH w:val="single" w:sz="4" w:space="0" w:color="333F48" w:themeColor="accent1"/>
          <w:insideV w:val="single" w:sz="4" w:space="0" w:color="333F48" w:themeColor="accent1"/>
        </w:tcBorders>
        <w:shd w:val="clear" w:color="auto" w:fill="333F48" w:themeFill="accent1"/>
      </w:tcPr>
    </w:tblStylePr>
    <w:tblStylePr w:type="lastRow">
      <w:pPr>
        <w:spacing w:before="0" w:after="0" w:line="240" w:lineRule="auto"/>
      </w:pPr>
      <w:rPr>
        <w:b/>
        <w:bCs/>
      </w:rPr>
      <w:tblPr/>
      <w:tcPr>
        <w:tcBorders>
          <w:top w:val="single" w:sz="4" w:space="0" w:color="333F48" w:themeColor="accent1"/>
          <w:left w:val="single" w:sz="4" w:space="0" w:color="333F48" w:themeColor="accent1"/>
          <w:bottom w:val="single" w:sz="4" w:space="0" w:color="333F48" w:themeColor="accent1"/>
          <w:right w:val="single" w:sz="4" w:space="0" w:color="333F48" w:themeColor="accent1"/>
          <w:insideH w:val="single" w:sz="4" w:space="0" w:color="333F48" w:themeColor="accent1"/>
          <w:insideV w:val="single" w:sz="4" w:space="0" w:color="333F48" w:themeColor="accent1"/>
        </w:tcBorders>
      </w:tcPr>
    </w:tblStylePr>
    <w:tblStylePr w:type="firstCol">
      <w:rPr>
        <w:b/>
        <w:bCs/>
      </w:rPr>
    </w:tblStylePr>
    <w:tblStylePr w:type="lastCol">
      <w:rPr>
        <w:b/>
        <w:bCs/>
      </w:rPr>
    </w:tblStylePr>
    <w:tblStylePr w:type="band1Horz">
      <w:tblPr/>
      <w:tcPr>
        <w:tcBorders>
          <w:top w:val="single" w:sz="4" w:space="0" w:color="333F48" w:themeColor="accent1"/>
          <w:left w:val="single" w:sz="4" w:space="0" w:color="333F48" w:themeColor="accent1"/>
          <w:bottom w:val="single" w:sz="4" w:space="0" w:color="333F48" w:themeColor="accent1"/>
          <w:right w:val="single" w:sz="4" w:space="0" w:color="333F48" w:themeColor="accent1"/>
          <w:insideH w:val="single" w:sz="4" w:space="0" w:color="333F48" w:themeColor="accent1"/>
          <w:insideV w:val="single" w:sz="4" w:space="0" w:color="333F48" w:themeColor="accent1"/>
        </w:tcBorders>
      </w:tcPr>
    </w:tblStylePr>
    <w:tblStylePr w:type="band2Horz">
      <w:tblPr/>
      <w:tcPr>
        <w:tcBorders>
          <w:top w:val="single" w:sz="4" w:space="0" w:color="333F48" w:themeColor="accent1"/>
          <w:left w:val="single" w:sz="4" w:space="0" w:color="333F48" w:themeColor="accent1"/>
          <w:bottom w:val="single" w:sz="4" w:space="0" w:color="333F48" w:themeColor="accent1"/>
          <w:right w:val="single" w:sz="4" w:space="0" w:color="333F48" w:themeColor="accent1"/>
          <w:insideH w:val="single" w:sz="4" w:space="0" w:color="333F48" w:themeColor="accent1"/>
          <w:insideV w:val="single" w:sz="4" w:space="0" w:color="333F48" w:themeColor="accent1"/>
        </w:tcBorders>
      </w:tcPr>
    </w:tblStylePr>
  </w:style>
  <w:style w:type="character" w:styleId="Hyperlink">
    <w:name w:val="Hyperlink"/>
    <w:uiPriority w:val="99"/>
    <w:rsid w:val="00857AC3"/>
    <w:rPr>
      <w:b/>
      <w:color w:val="333F48" w:themeColor="accent1"/>
      <w:u w:val="none"/>
    </w:rPr>
  </w:style>
  <w:style w:type="paragraph" w:styleId="Date">
    <w:name w:val="Date"/>
    <w:basedOn w:val="Normal"/>
    <w:next w:val="Normal"/>
    <w:link w:val="DateChar"/>
    <w:uiPriority w:val="2"/>
    <w:rsid w:val="00783D34"/>
    <w:pPr>
      <w:spacing w:before="0" w:after="0"/>
      <w:jc w:val="right"/>
    </w:pPr>
    <w:rPr>
      <w:b/>
      <w:color w:val="333F48" w:themeColor="accent1"/>
      <w:sz w:val="24"/>
    </w:rPr>
  </w:style>
  <w:style w:type="paragraph" w:styleId="TOC1">
    <w:name w:val="toc 1"/>
    <w:basedOn w:val="Normal"/>
    <w:next w:val="Normal"/>
    <w:semiHidden/>
    <w:rsid w:val="000971C7"/>
    <w:pPr>
      <w:spacing w:before="240"/>
    </w:pPr>
    <w:rPr>
      <w:b/>
      <w:bCs/>
      <w:szCs w:val="20"/>
    </w:rPr>
  </w:style>
  <w:style w:type="character" w:customStyle="1" w:styleId="DateChar">
    <w:name w:val="Date Char"/>
    <w:basedOn w:val="DefaultParagraphFont"/>
    <w:link w:val="Date"/>
    <w:uiPriority w:val="2"/>
    <w:rsid w:val="00F35DD4"/>
    <w:rPr>
      <w:rFonts w:asciiTheme="minorHAnsi" w:eastAsia="Times New Roman" w:hAnsiTheme="minorHAnsi"/>
      <w:b/>
      <w:color w:val="333F48" w:themeColor="accent1"/>
      <w:sz w:val="24"/>
      <w:szCs w:val="24"/>
    </w:rPr>
  </w:style>
  <w:style w:type="paragraph" w:customStyle="1" w:styleId="TableText">
    <w:name w:val="Table Text"/>
    <w:basedOn w:val="Normal"/>
    <w:uiPriority w:val="2"/>
    <w:qFormat/>
    <w:rsid w:val="00783D34"/>
    <w:pPr>
      <w:spacing w:before="0" w:after="0"/>
    </w:pPr>
    <w:rPr>
      <w:sz w:val="18"/>
      <w:szCs w:val="18"/>
    </w:rPr>
  </w:style>
  <w:style w:type="paragraph" w:styleId="TOCHeading">
    <w:name w:val="TOC Heading"/>
    <w:basedOn w:val="Normal"/>
    <w:semiHidden/>
    <w:rsid w:val="000971C7"/>
    <w:pPr>
      <w:tabs>
        <w:tab w:val="right" w:pos="9378"/>
      </w:tabs>
      <w:spacing w:after="240"/>
    </w:pPr>
    <w:rPr>
      <w:b/>
      <w:color w:val="4D90CD"/>
      <w:sz w:val="28"/>
      <w:szCs w:val="28"/>
    </w:rPr>
  </w:style>
  <w:style w:type="paragraph" w:customStyle="1" w:styleId="Disclaimer">
    <w:name w:val="Disclaimer"/>
    <w:basedOn w:val="Normal"/>
    <w:uiPriority w:val="99"/>
    <w:rsid w:val="00965041"/>
    <w:pPr>
      <w:spacing w:before="0" w:after="0"/>
    </w:pPr>
    <w:rPr>
      <w:sz w:val="14"/>
      <w:szCs w:val="14"/>
      <w:lang w:eastAsia="en-AU"/>
    </w:rPr>
  </w:style>
  <w:style w:type="paragraph" w:customStyle="1" w:styleId="Signoff">
    <w:name w:val="Sign off"/>
    <w:basedOn w:val="Normal"/>
    <w:uiPriority w:val="99"/>
    <w:rsid w:val="00965041"/>
    <w:pPr>
      <w:spacing w:before="0" w:after="0"/>
    </w:pPr>
    <w:rPr>
      <w:sz w:val="18"/>
      <w:szCs w:val="18"/>
      <w:lang w:eastAsia="en-AU"/>
    </w:rPr>
  </w:style>
  <w:style w:type="character" w:styleId="PageNumber">
    <w:name w:val="page number"/>
    <w:basedOn w:val="DefaultParagraphFont"/>
    <w:semiHidden/>
    <w:rsid w:val="000971C7"/>
  </w:style>
  <w:style w:type="paragraph" w:styleId="TOC2">
    <w:name w:val="toc 2"/>
    <w:basedOn w:val="Normal"/>
    <w:next w:val="Normal"/>
    <w:autoRedefine/>
    <w:semiHidden/>
    <w:rsid w:val="000971C7"/>
    <w:pPr>
      <w:ind w:left="200"/>
    </w:pPr>
  </w:style>
  <w:style w:type="paragraph" w:styleId="BalloonText">
    <w:name w:val="Balloon Text"/>
    <w:basedOn w:val="Normal"/>
    <w:link w:val="BalloonTextChar"/>
    <w:semiHidden/>
    <w:rsid w:val="00897341"/>
    <w:rPr>
      <w:rFonts w:ascii="Tahoma" w:hAnsi="Tahoma" w:cs="Tahoma"/>
      <w:sz w:val="16"/>
      <w:szCs w:val="16"/>
    </w:rPr>
  </w:style>
  <w:style w:type="character" w:customStyle="1" w:styleId="BalloonTextChar">
    <w:name w:val="Balloon Text Char"/>
    <w:basedOn w:val="DefaultParagraphFont"/>
    <w:link w:val="BalloonText"/>
    <w:semiHidden/>
    <w:rsid w:val="00446B18"/>
    <w:rPr>
      <w:rFonts w:ascii="Tahoma" w:eastAsia="Times New Roman" w:hAnsi="Tahoma" w:cs="Tahoma"/>
      <w:sz w:val="16"/>
      <w:szCs w:val="16"/>
    </w:rPr>
  </w:style>
  <w:style w:type="table" w:styleId="TableGrid">
    <w:name w:val="Table Grid"/>
    <w:basedOn w:val="TableNormal"/>
    <w:rsid w:val="006E6F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973"/>
    <w:rPr>
      <w:szCs w:val="20"/>
      <w:lang w:eastAsia="en-AU"/>
    </w:rPr>
  </w:style>
  <w:style w:type="character" w:styleId="CommentReference">
    <w:name w:val="annotation reference"/>
    <w:basedOn w:val="DefaultParagraphFont"/>
    <w:uiPriority w:val="99"/>
    <w:rsid w:val="00862B44"/>
    <w:rPr>
      <w:sz w:val="16"/>
      <w:szCs w:val="16"/>
    </w:rPr>
  </w:style>
  <w:style w:type="paragraph" w:styleId="CommentText">
    <w:name w:val="annotation text"/>
    <w:basedOn w:val="Normal"/>
    <w:link w:val="CommentTextChar"/>
    <w:semiHidden/>
    <w:rsid w:val="00862B44"/>
    <w:rPr>
      <w:szCs w:val="20"/>
    </w:rPr>
  </w:style>
  <w:style w:type="character" w:customStyle="1" w:styleId="CommentTextChar">
    <w:name w:val="Comment Text Char"/>
    <w:basedOn w:val="DefaultParagraphFont"/>
    <w:link w:val="CommentText"/>
    <w:semiHidden/>
    <w:rsid w:val="00446B18"/>
    <w:rPr>
      <w:rFonts w:asciiTheme="minorHAnsi" w:eastAsia="Times New Roman" w:hAnsiTheme="minorHAnsi"/>
    </w:rPr>
  </w:style>
  <w:style w:type="paragraph" w:styleId="CommentSubject">
    <w:name w:val="annotation subject"/>
    <w:basedOn w:val="CommentText"/>
    <w:next w:val="CommentText"/>
    <w:link w:val="CommentSubjectChar"/>
    <w:semiHidden/>
    <w:rsid w:val="00862B44"/>
    <w:rPr>
      <w:b/>
      <w:bCs/>
    </w:rPr>
  </w:style>
  <w:style w:type="character" w:customStyle="1" w:styleId="CommentSubjectChar">
    <w:name w:val="Comment Subject Char"/>
    <w:basedOn w:val="CommentTextChar"/>
    <w:link w:val="CommentSubject"/>
    <w:semiHidden/>
    <w:rsid w:val="00446B18"/>
    <w:rPr>
      <w:rFonts w:asciiTheme="minorHAnsi" w:eastAsia="Times New Roman" w:hAnsiTheme="minorHAnsi"/>
      <w:b/>
      <w:bCs/>
    </w:rPr>
  </w:style>
  <w:style w:type="character" w:styleId="FollowedHyperlink">
    <w:name w:val="FollowedHyperlink"/>
    <w:basedOn w:val="DefaultParagraphFont"/>
    <w:semiHidden/>
    <w:rsid w:val="00CD52F2"/>
    <w:rPr>
      <w:color w:val="000000" w:themeColor="followedHyperlink"/>
      <w:u w:val="single"/>
    </w:rPr>
  </w:style>
  <w:style w:type="paragraph" w:styleId="Revision">
    <w:name w:val="Revision"/>
    <w:hidden/>
    <w:uiPriority w:val="99"/>
    <w:semiHidden/>
    <w:rsid w:val="00682ACD"/>
    <w:rPr>
      <w:rFonts w:ascii="Verdana" w:eastAsia="Times New Roman" w:hAnsi="Verdana"/>
      <w:szCs w:val="24"/>
    </w:rPr>
  </w:style>
  <w:style w:type="paragraph" w:customStyle="1" w:styleId="Default">
    <w:name w:val="Default"/>
    <w:rsid w:val="00AB3AB8"/>
    <w:pPr>
      <w:autoSpaceDE w:val="0"/>
      <w:autoSpaceDN w:val="0"/>
      <w:adjustRightInd w:val="0"/>
    </w:pPr>
    <w:rPr>
      <w:rFonts w:ascii="Arial" w:eastAsia="Arial" w:hAnsi="Arial" w:cs="Arial"/>
      <w:color w:val="000000"/>
      <w:sz w:val="24"/>
      <w:szCs w:val="24"/>
      <w:lang w:eastAsia="en-AU"/>
    </w:rPr>
  </w:style>
  <w:style w:type="character" w:customStyle="1" w:styleId="Heading2Char">
    <w:name w:val="Heading 2 Char"/>
    <w:basedOn w:val="DefaultParagraphFont"/>
    <w:link w:val="Heading2"/>
    <w:uiPriority w:val="1"/>
    <w:rsid w:val="00F35DD4"/>
    <w:rPr>
      <w:rFonts w:asciiTheme="majorHAnsi" w:eastAsiaTheme="majorEastAsia" w:hAnsiTheme="majorHAnsi" w:cstheme="majorBidi"/>
      <w:b/>
      <w:bCs/>
      <w:szCs w:val="26"/>
    </w:rPr>
  </w:style>
  <w:style w:type="character" w:styleId="Strong">
    <w:name w:val="Strong"/>
    <w:basedOn w:val="DefaultParagraphFont"/>
    <w:uiPriority w:val="22"/>
    <w:semiHidden/>
    <w:rsid w:val="00175845"/>
    <w:rPr>
      <w:rFonts w:asciiTheme="minorHAnsi" w:hAnsiTheme="minorHAnsi"/>
      <w:b/>
      <w:bCs/>
    </w:rPr>
  </w:style>
  <w:style w:type="paragraph" w:styleId="FootnoteText">
    <w:name w:val="footnote text"/>
    <w:basedOn w:val="Normal"/>
    <w:link w:val="FootnoteTextChar"/>
    <w:uiPriority w:val="99"/>
    <w:unhideWhenUsed/>
    <w:rsid w:val="00A07CE2"/>
    <w:pPr>
      <w:spacing w:before="0" w:after="0"/>
    </w:pPr>
    <w:rPr>
      <w:rFonts w:eastAsia="Arial"/>
      <w:sz w:val="16"/>
      <w:szCs w:val="20"/>
    </w:rPr>
  </w:style>
  <w:style w:type="character" w:customStyle="1" w:styleId="FootnoteTextChar">
    <w:name w:val="Footnote Text Char"/>
    <w:basedOn w:val="DefaultParagraphFont"/>
    <w:link w:val="FootnoteText"/>
    <w:uiPriority w:val="99"/>
    <w:rsid w:val="00A07CE2"/>
    <w:rPr>
      <w:rFonts w:asciiTheme="minorHAnsi" w:eastAsia="Arial" w:hAnsiTheme="minorHAnsi"/>
      <w:sz w:val="16"/>
    </w:rPr>
  </w:style>
  <w:style w:type="character" w:styleId="FootnoteReference">
    <w:name w:val="footnote reference"/>
    <w:basedOn w:val="DefaultParagraphFont"/>
    <w:uiPriority w:val="99"/>
    <w:unhideWhenUsed/>
    <w:rsid w:val="00C21944"/>
    <w:rPr>
      <w:vertAlign w:val="superscript"/>
    </w:rPr>
  </w:style>
  <w:style w:type="character" w:customStyle="1" w:styleId="Heading4Char">
    <w:name w:val="Heading 4 Char"/>
    <w:basedOn w:val="DefaultParagraphFont"/>
    <w:link w:val="Heading4"/>
    <w:semiHidden/>
    <w:rsid w:val="00446B18"/>
    <w:rPr>
      <w:rFonts w:asciiTheme="majorHAnsi" w:eastAsiaTheme="majorEastAsia" w:hAnsiTheme="majorHAnsi" w:cstheme="majorBidi"/>
      <w:b/>
      <w:bCs/>
      <w:iCs/>
      <w:color w:val="4D90CD"/>
      <w:szCs w:val="22"/>
    </w:rPr>
  </w:style>
  <w:style w:type="character" w:customStyle="1" w:styleId="FooterChar">
    <w:name w:val="Footer Char"/>
    <w:basedOn w:val="DefaultParagraphFont"/>
    <w:link w:val="Footer"/>
    <w:uiPriority w:val="99"/>
    <w:rsid w:val="004549CA"/>
    <w:rPr>
      <w:rFonts w:asciiTheme="minorHAnsi" w:eastAsia="Times New Roman" w:hAnsiTheme="minorHAnsi"/>
      <w:b/>
      <w:color w:val="BFBFBF" w:themeColor="background1" w:themeShade="BF"/>
      <w:szCs w:val="24"/>
    </w:rPr>
  </w:style>
  <w:style w:type="character" w:customStyle="1" w:styleId="Heading1Char">
    <w:name w:val="Heading 1 Char"/>
    <w:basedOn w:val="DefaultParagraphFont"/>
    <w:link w:val="Heading1"/>
    <w:uiPriority w:val="1"/>
    <w:rsid w:val="00F35DD4"/>
    <w:rPr>
      <w:rFonts w:asciiTheme="majorHAnsi" w:eastAsiaTheme="majorEastAsia" w:hAnsiTheme="majorHAnsi" w:cstheme="majorBidi"/>
      <w:b/>
      <w:bCs/>
      <w:color w:val="333F48" w:themeColor="accent1"/>
      <w:sz w:val="24"/>
      <w:szCs w:val="28"/>
    </w:rPr>
  </w:style>
  <w:style w:type="character" w:customStyle="1" w:styleId="Heading3Char">
    <w:name w:val="Heading 3 Char"/>
    <w:basedOn w:val="DefaultParagraphFont"/>
    <w:link w:val="Heading3"/>
    <w:uiPriority w:val="1"/>
    <w:rsid w:val="00DC65A9"/>
    <w:rPr>
      <w:rFonts w:asciiTheme="majorHAnsi" w:eastAsiaTheme="majorEastAsia" w:hAnsiTheme="majorHAnsi" w:cstheme="majorBidi"/>
      <w:b/>
      <w:bCs/>
      <w:i/>
      <w:szCs w:val="24"/>
    </w:rPr>
  </w:style>
  <w:style w:type="paragraph" w:customStyle="1" w:styleId="Bodycopy">
    <w:name w:val="Body copy"/>
    <w:basedOn w:val="Normal"/>
    <w:qFormat/>
    <w:rsid w:val="00D2534D"/>
    <w:pPr>
      <w:spacing w:before="0" w:after="60" w:line="240" w:lineRule="auto"/>
    </w:pPr>
    <w:rPr>
      <w:rFonts w:ascii="Arial" w:eastAsiaTheme="minorEastAsia" w:hAnsi="Arial" w:cstheme="minorBidi"/>
      <w:sz w:val="18"/>
      <w:szCs w:val="22"/>
      <w:lang w:eastAsia="en-AU"/>
    </w:rPr>
  </w:style>
  <w:style w:type="character" w:customStyle="1" w:styleId="defaultparagraphfont0">
    <w:name w:val="defaultparagraphfont"/>
    <w:basedOn w:val="DefaultParagraphFont"/>
    <w:rsid w:val="00526B17"/>
  </w:style>
  <w:style w:type="paragraph" w:styleId="NormalWeb">
    <w:name w:val="Normal (Web)"/>
    <w:basedOn w:val="Normal"/>
    <w:uiPriority w:val="99"/>
    <w:unhideWhenUsed/>
    <w:rsid w:val="00C949A2"/>
    <w:pPr>
      <w:spacing w:before="100" w:beforeAutospacing="1" w:after="100" w:afterAutospacing="1" w:line="240" w:lineRule="auto"/>
    </w:pPr>
    <w:rPr>
      <w:rFonts w:ascii="Times New Roman" w:hAnsi="Times New Roman"/>
      <w:sz w:val="24"/>
      <w:lang w:eastAsia="en-AU"/>
    </w:rPr>
  </w:style>
  <w:style w:type="paragraph" w:customStyle="1" w:styleId="FFheading1">
    <w:name w:val="FF_heading_1"/>
    <w:basedOn w:val="Normal"/>
    <w:link w:val="FFheading1Char"/>
    <w:qFormat/>
    <w:rsid w:val="006E4903"/>
    <w:pPr>
      <w:spacing w:line="240" w:lineRule="auto"/>
    </w:pPr>
    <w:rPr>
      <w:rFonts w:ascii="Arial" w:hAnsi="Arial"/>
      <w:sz w:val="28"/>
      <w:lang w:val="x-none" w:eastAsia="x-none"/>
    </w:rPr>
  </w:style>
  <w:style w:type="character" w:customStyle="1" w:styleId="FFheading1Char">
    <w:name w:val="FF_heading_1 Char"/>
    <w:link w:val="FFheading1"/>
    <w:rsid w:val="006E4903"/>
    <w:rPr>
      <w:rFonts w:ascii="Arial" w:eastAsia="Times New Roman" w:hAnsi="Arial"/>
      <w:sz w:val="28"/>
      <w:szCs w:val="24"/>
      <w:lang w:val="x-none" w:eastAsia="x-none"/>
    </w:rPr>
  </w:style>
  <w:style w:type="paragraph" w:customStyle="1" w:styleId="FFbody">
    <w:name w:val="FF_body"/>
    <w:basedOn w:val="Normal"/>
    <w:link w:val="FFbodyChar"/>
    <w:qFormat/>
    <w:rsid w:val="006E4903"/>
    <w:pPr>
      <w:spacing w:before="0" w:line="240" w:lineRule="auto"/>
    </w:pPr>
    <w:rPr>
      <w:rFonts w:ascii="Arial" w:hAnsi="Arial"/>
      <w:lang w:val="x-none" w:eastAsia="x-none"/>
    </w:rPr>
  </w:style>
  <w:style w:type="paragraph" w:customStyle="1" w:styleId="FFheading2">
    <w:name w:val="FF_heading_2"/>
    <w:basedOn w:val="Normal"/>
    <w:link w:val="FFheading2Char"/>
    <w:qFormat/>
    <w:rsid w:val="006E4903"/>
    <w:pPr>
      <w:spacing w:before="0" w:after="0" w:line="240" w:lineRule="auto"/>
    </w:pPr>
    <w:rPr>
      <w:rFonts w:ascii="Arial" w:hAnsi="Arial"/>
      <w:b/>
      <w:sz w:val="22"/>
      <w:lang w:val="x-none" w:eastAsia="x-none"/>
    </w:rPr>
  </w:style>
  <w:style w:type="character" w:customStyle="1" w:styleId="FFbodyChar">
    <w:name w:val="FF_body Char"/>
    <w:link w:val="FFbody"/>
    <w:rsid w:val="006E4903"/>
    <w:rPr>
      <w:rFonts w:ascii="Arial" w:eastAsia="Times New Roman" w:hAnsi="Arial"/>
      <w:szCs w:val="24"/>
      <w:lang w:val="x-none" w:eastAsia="x-none"/>
    </w:rPr>
  </w:style>
  <w:style w:type="character" w:customStyle="1" w:styleId="FFheading2Char">
    <w:name w:val="FF_heading_2 Char"/>
    <w:link w:val="FFheading2"/>
    <w:rsid w:val="006E4903"/>
    <w:rPr>
      <w:rFonts w:ascii="Arial" w:eastAsia="Times New Roman" w:hAnsi="Arial"/>
      <w:b/>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558">
      <w:bodyDiv w:val="1"/>
      <w:marLeft w:val="0"/>
      <w:marRight w:val="0"/>
      <w:marTop w:val="0"/>
      <w:marBottom w:val="0"/>
      <w:divBdr>
        <w:top w:val="none" w:sz="0" w:space="0" w:color="auto"/>
        <w:left w:val="none" w:sz="0" w:space="0" w:color="auto"/>
        <w:bottom w:val="none" w:sz="0" w:space="0" w:color="auto"/>
        <w:right w:val="none" w:sz="0" w:space="0" w:color="auto"/>
      </w:divBdr>
    </w:div>
    <w:div w:id="115879920">
      <w:bodyDiv w:val="1"/>
      <w:marLeft w:val="0"/>
      <w:marRight w:val="0"/>
      <w:marTop w:val="0"/>
      <w:marBottom w:val="0"/>
      <w:divBdr>
        <w:top w:val="none" w:sz="0" w:space="0" w:color="auto"/>
        <w:left w:val="none" w:sz="0" w:space="0" w:color="auto"/>
        <w:bottom w:val="none" w:sz="0" w:space="0" w:color="auto"/>
        <w:right w:val="none" w:sz="0" w:space="0" w:color="auto"/>
      </w:divBdr>
    </w:div>
    <w:div w:id="205652150">
      <w:bodyDiv w:val="1"/>
      <w:marLeft w:val="0"/>
      <w:marRight w:val="0"/>
      <w:marTop w:val="0"/>
      <w:marBottom w:val="0"/>
      <w:divBdr>
        <w:top w:val="none" w:sz="0" w:space="0" w:color="auto"/>
        <w:left w:val="none" w:sz="0" w:space="0" w:color="auto"/>
        <w:bottom w:val="none" w:sz="0" w:space="0" w:color="auto"/>
        <w:right w:val="none" w:sz="0" w:space="0" w:color="auto"/>
      </w:divBdr>
    </w:div>
    <w:div w:id="264119540">
      <w:bodyDiv w:val="1"/>
      <w:marLeft w:val="0"/>
      <w:marRight w:val="0"/>
      <w:marTop w:val="0"/>
      <w:marBottom w:val="0"/>
      <w:divBdr>
        <w:top w:val="none" w:sz="0" w:space="0" w:color="auto"/>
        <w:left w:val="none" w:sz="0" w:space="0" w:color="auto"/>
        <w:bottom w:val="none" w:sz="0" w:space="0" w:color="auto"/>
        <w:right w:val="none" w:sz="0" w:space="0" w:color="auto"/>
      </w:divBdr>
    </w:div>
    <w:div w:id="364522098">
      <w:bodyDiv w:val="1"/>
      <w:marLeft w:val="0"/>
      <w:marRight w:val="0"/>
      <w:marTop w:val="0"/>
      <w:marBottom w:val="0"/>
      <w:divBdr>
        <w:top w:val="none" w:sz="0" w:space="0" w:color="auto"/>
        <w:left w:val="none" w:sz="0" w:space="0" w:color="auto"/>
        <w:bottom w:val="none" w:sz="0" w:space="0" w:color="auto"/>
        <w:right w:val="none" w:sz="0" w:space="0" w:color="auto"/>
      </w:divBdr>
    </w:div>
    <w:div w:id="431167208">
      <w:bodyDiv w:val="1"/>
      <w:marLeft w:val="0"/>
      <w:marRight w:val="0"/>
      <w:marTop w:val="0"/>
      <w:marBottom w:val="0"/>
      <w:divBdr>
        <w:top w:val="none" w:sz="0" w:space="0" w:color="auto"/>
        <w:left w:val="none" w:sz="0" w:space="0" w:color="auto"/>
        <w:bottom w:val="none" w:sz="0" w:space="0" w:color="auto"/>
        <w:right w:val="none" w:sz="0" w:space="0" w:color="auto"/>
      </w:divBdr>
    </w:div>
    <w:div w:id="586689447">
      <w:bodyDiv w:val="1"/>
      <w:marLeft w:val="0"/>
      <w:marRight w:val="0"/>
      <w:marTop w:val="0"/>
      <w:marBottom w:val="0"/>
      <w:divBdr>
        <w:top w:val="none" w:sz="0" w:space="0" w:color="auto"/>
        <w:left w:val="none" w:sz="0" w:space="0" w:color="auto"/>
        <w:bottom w:val="none" w:sz="0" w:space="0" w:color="auto"/>
        <w:right w:val="none" w:sz="0" w:space="0" w:color="auto"/>
      </w:divBdr>
    </w:div>
    <w:div w:id="670528813">
      <w:bodyDiv w:val="1"/>
      <w:marLeft w:val="0"/>
      <w:marRight w:val="0"/>
      <w:marTop w:val="0"/>
      <w:marBottom w:val="0"/>
      <w:divBdr>
        <w:top w:val="none" w:sz="0" w:space="0" w:color="auto"/>
        <w:left w:val="none" w:sz="0" w:space="0" w:color="auto"/>
        <w:bottom w:val="none" w:sz="0" w:space="0" w:color="auto"/>
        <w:right w:val="none" w:sz="0" w:space="0" w:color="auto"/>
      </w:divBdr>
    </w:div>
    <w:div w:id="741636583">
      <w:bodyDiv w:val="1"/>
      <w:marLeft w:val="0"/>
      <w:marRight w:val="0"/>
      <w:marTop w:val="0"/>
      <w:marBottom w:val="0"/>
      <w:divBdr>
        <w:top w:val="none" w:sz="0" w:space="0" w:color="auto"/>
        <w:left w:val="none" w:sz="0" w:space="0" w:color="auto"/>
        <w:bottom w:val="none" w:sz="0" w:space="0" w:color="auto"/>
        <w:right w:val="none" w:sz="0" w:space="0" w:color="auto"/>
      </w:divBdr>
    </w:div>
    <w:div w:id="805927912">
      <w:bodyDiv w:val="1"/>
      <w:marLeft w:val="0"/>
      <w:marRight w:val="0"/>
      <w:marTop w:val="0"/>
      <w:marBottom w:val="0"/>
      <w:divBdr>
        <w:top w:val="none" w:sz="0" w:space="0" w:color="auto"/>
        <w:left w:val="none" w:sz="0" w:space="0" w:color="auto"/>
        <w:bottom w:val="none" w:sz="0" w:space="0" w:color="auto"/>
        <w:right w:val="none" w:sz="0" w:space="0" w:color="auto"/>
      </w:divBdr>
    </w:div>
    <w:div w:id="817264785">
      <w:bodyDiv w:val="1"/>
      <w:marLeft w:val="0"/>
      <w:marRight w:val="0"/>
      <w:marTop w:val="0"/>
      <w:marBottom w:val="0"/>
      <w:divBdr>
        <w:top w:val="none" w:sz="0" w:space="0" w:color="auto"/>
        <w:left w:val="none" w:sz="0" w:space="0" w:color="auto"/>
        <w:bottom w:val="none" w:sz="0" w:space="0" w:color="auto"/>
        <w:right w:val="none" w:sz="0" w:space="0" w:color="auto"/>
      </w:divBdr>
    </w:div>
    <w:div w:id="833690356">
      <w:bodyDiv w:val="1"/>
      <w:marLeft w:val="0"/>
      <w:marRight w:val="0"/>
      <w:marTop w:val="0"/>
      <w:marBottom w:val="0"/>
      <w:divBdr>
        <w:top w:val="none" w:sz="0" w:space="0" w:color="auto"/>
        <w:left w:val="none" w:sz="0" w:space="0" w:color="auto"/>
        <w:bottom w:val="none" w:sz="0" w:space="0" w:color="auto"/>
        <w:right w:val="none" w:sz="0" w:space="0" w:color="auto"/>
      </w:divBdr>
    </w:div>
    <w:div w:id="1160120778">
      <w:bodyDiv w:val="1"/>
      <w:marLeft w:val="0"/>
      <w:marRight w:val="0"/>
      <w:marTop w:val="0"/>
      <w:marBottom w:val="0"/>
      <w:divBdr>
        <w:top w:val="none" w:sz="0" w:space="0" w:color="auto"/>
        <w:left w:val="none" w:sz="0" w:space="0" w:color="auto"/>
        <w:bottom w:val="none" w:sz="0" w:space="0" w:color="auto"/>
        <w:right w:val="none" w:sz="0" w:space="0" w:color="auto"/>
      </w:divBdr>
    </w:div>
    <w:div w:id="1198815112">
      <w:bodyDiv w:val="1"/>
      <w:marLeft w:val="0"/>
      <w:marRight w:val="0"/>
      <w:marTop w:val="0"/>
      <w:marBottom w:val="0"/>
      <w:divBdr>
        <w:top w:val="none" w:sz="0" w:space="0" w:color="auto"/>
        <w:left w:val="none" w:sz="0" w:space="0" w:color="auto"/>
        <w:bottom w:val="none" w:sz="0" w:space="0" w:color="auto"/>
        <w:right w:val="none" w:sz="0" w:space="0" w:color="auto"/>
      </w:divBdr>
    </w:div>
    <w:div w:id="1644458058">
      <w:bodyDiv w:val="1"/>
      <w:marLeft w:val="0"/>
      <w:marRight w:val="0"/>
      <w:marTop w:val="0"/>
      <w:marBottom w:val="0"/>
      <w:divBdr>
        <w:top w:val="none" w:sz="0" w:space="0" w:color="auto"/>
        <w:left w:val="none" w:sz="0" w:space="0" w:color="auto"/>
        <w:bottom w:val="none" w:sz="0" w:space="0" w:color="auto"/>
        <w:right w:val="none" w:sz="0" w:space="0" w:color="auto"/>
      </w:divBdr>
    </w:div>
    <w:div w:id="1794715350">
      <w:bodyDiv w:val="1"/>
      <w:marLeft w:val="0"/>
      <w:marRight w:val="0"/>
      <w:marTop w:val="0"/>
      <w:marBottom w:val="0"/>
      <w:divBdr>
        <w:top w:val="none" w:sz="0" w:space="0" w:color="auto"/>
        <w:left w:val="none" w:sz="0" w:space="0" w:color="auto"/>
        <w:bottom w:val="none" w:sz="0" w:space="0" w:color="auto"/>
        <w:right w:val="none" w:sz="0" w:space="0" w:color="auto"/>
      </w:divBdr>
    </w:div>
    <w:div w:id="1840847613">
      <w:bodyDiv w:val="1"/>
      <w:marLeft w:val="0"/>
      <w:marRight w:val="0"/>
      <w:marTop w:val="0"/>
      <w:marBottom w:val="0"/>
      <w:divBdr>
        <w:top w:val="none" w:sz="0" w:space="0" w:color="auto"/>
        <w:left w:val="none" w:sz="0" w:space="0" w:color="auto"/>
        <w:bottom w:val="none" w:sz="0" w:space="0" w:color="auto"/>
        <w:right w:val="none" w:sz="0" w:space="0" w:color="auto"/>
      </w:divBdr>
    </w:div>
    <w:div w:id="1870221032">
      <w:bodyDiv w:val="1"/>
      <w:marLeft w:val="0"/>
      <w:marRight w:val="0"/>
      <w:marTop w:val="0"/>
      <w:marBottom w:val="0"/>
      <w:divBdr>
        <w:top w:val="none" w:sz="0" w:space="0" w:color="auto"/>
        <w:left w:val="none" w:sz="0" w:space="0" w:color="auto"/>
        <w:bottom w:val="none" w:sz="0" w:space="0" w:color="auto"/>
        <w:right w:val="none" w:sz="0" w:space="0" w:color="auto"/>
      </w:divBdr>
    </w:div>
    <w:div w:id="207854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yagedcare.gov.au"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yagedcare.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ganj\Local%20Settings\Temp\wz3b16\MarketWatch_CFS\Templates\MarketWatch_CFS_adviser_template.dotx" TargetMode="External"/></Relationships>
</file>

<file path=word/theme/theme1.xml><?xml version="1.0" encoding="utf-8"?>
<a:theme xmlns:a="http://schemas.openxmlformats.org/drawingml/2006/main" name="Office Theme">
  <a:themeElements>
    <a:clrScheme name="Count-new">
      <a:dk1>
        <a:sysClr val="windowText" lastClr="000000"/>
      </a:dk1>
      <a:lt1>
        <a:sysClr val="window" lastClr="FFFFFF"/>
      </a:lt1>
      <a:dk2>
        <a:srgbClr val="000000"/>
      </a:dk2>
      <a:lt2>
        <a:srgbClr val="FFFFFF"/>
      </a:lt2>
      <a:accent1>
        <a:srgbClr val="333F48"/>
      </a:accent1>
      <a:accent2>
        <a:srgbClr val="ED8B00"/>
      </a:accent2>
      <a:accent3>
        <a:srgbClr val="0095C8"/>
      </a:accent3>
      <a:accent4>
        <a:srgbClr val="C1C6C8"/>
      </a:accent4>
      <a:accent5>
        <a:srgbClr val="00558C"/>
      </a:accent5>
      <a:accent6>
        <a:srgbClr val="00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Overflow="clip" wrap="square" rtlCol="0"/>
      <a:lstStyle>
        <a:defPPr>
          <a:defRPr sz="100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97884903-a30f-431d-8d90-f33171442c10">
      <Terms xmlns="http://schemas.microsoft.com/office/infopath/2007/PartnerControls"/>
    </lcf76f155ced4ddcb4097134ff3c332f>
    <TaxCatchAll xmlns="aa738544-32a4-411c-8186-5d55981d2b6e" xsi:nil="true"/>
    <PrimeConfidenceScore xmlns="aa738544-32a4-411c-8186-5d55981d2b6e" xsi:nil="true"/>
    <PrimeLastClassified xmlns="aa738544-32a4-411c-8186-5d55981d2b6e" xsi:nil="true"/>
    <PrimeModelVersion xmlns="aa738544-32a4-411c-8186-5d55981d2b6e" xsi:nil="true"/>
    <PrimeCorrectedByUser xmlns="aa738544-32a4-411c-8186-5d55981d2b6e" xsi:nil="true"/>
    <_ModelId xmlns="aa738544-32a4-411c-8186-5d55981d2b6e" xsi:nil="true"/>
    <PrimeModelURL xmlns="aa738544-32a4-411c-8186-5d55981d2b6e">
      <Url xsi:nil="true"/>
      <Description xsi:nil="true"/>
    </PrimeModel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26" ma:contentTypeDescription="Create a new document." ma:contentTypeScope="" ma:versionID="4c1027d376bd6b7923ee469885a982e4">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5363b0ed97ef7fb3f74f17208673363c"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PrimeConfidenceScore" minOccurs="0"/>
                <xsd:element ref="ns3:PrimeModelURL" minOccurs="0"/>
                <xsd:element ref="ns3:PrimeModelVersion" minOccurs="0"/>
                <xsd:element ref="ns3:PrimeLastClassified" minOccurs="0"/>
                <xsd:element ref="ns3:PrimeCorrectedByUser" minOccurs="0"/>
                <xsd:element ref="ns3:_Model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30beb5-562b-474f-9067-f42073e5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141024-df06-4e56-b2b3-05d41e258e67}" ma:internalName="TaxCatchAll" ma:showField="CatchAllData" ma:web="aa738544-32a4-411c-8186-5d55981d2b6e">
      <xsd:complexType>
        <xsd:complexContent>
          <xsd:extension base="dms:MultiChoiceLookup">
            <xsd:sequence>
              <xsd:element name="Value" type="dms:Lookup" maxOccurs="unbounded" minOccurs="0" nillable="true"/>
            </xsd:sequence>
          </xsd:extension>
        </xsd:complexContent>
      </xsd:complexType>
    </xsd:element>
    <xsd:element name="PrimeConfidenceScore" ma:index="27" nillable="true" ma:displayName="Confidence Score" ma:decimals="4" ma:internalName="PrimeConfidenceScore" ma:percentage="TRUE">
      <xsd:simpleType>
        <xsd:restriction base="dms:Number"/>
      </xsd:simpleType>
    </xsd:element>
    <xsd:element name="PrimeModelURL" ma:index="28" nillable="true" ma:displayName="Model URL" ma:internalName="PrimeModelURL">
      <xsd:complexType>
        <xsd:complexContent>
          <xsd:extension base="dms:URL">
            <xsd:sequence>
              <xsd:element name="Url" type="dms:ValidUrl" minOccurs="0" nillable="true"/>
              <xsd:element name="Description" type="xsd:string" nillable="true"/>
            </xsd:sequence>
          </xsd:extension>
        </xsd:complexContent>
      </xsd:complexType>
    </xsd:element>
    <xsd:element name="PrimeModelVersion" ma:index="29" nillable="true" ma:displayName="Model Version" ma:internalName="PrimeModelVersion">
      <xsd:simpleType>
        <xsd:restriction base="dms:Text"/>
      </xsd:simpleType>
    </xsd:element>
    <xsd:element name="PrimeLastClassified" ma:index="30" nillable="true" ma:displayName="Classification Date" ma:internalName="PrimeLastClassified">
      <xsd:simpleType>
        <xsd:restriction base="dms:DateTime"/>
      </xsd:simpleType>
    </xsd:element>
    <xsd:element name="PrimeCorrectedByUser" ma:index="31" nillable="true" ma:displayName="Corrected" ma:internalName="PrimeCorrectedByUser">
      <xsd:simpleType>
        <xsd:restriction base="dms:Boolean"/>
      </xsd:simpleType>
    </xsd:element>
    <xsd:element name="_ModelId" ma:index="32" nillable="true" ma:displayName="_ModelId" ma:internalName="_Mod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83F46-5C7A-4227-B1A0-BB8B65D885C9}">
  <ds:schemaRefs>
    <ds:schemaRef ds:uri="http://schemas.microsoft.com/office/2006/metadata/properties"/>
    <ds:schemaRef ds:uri="http://schemas.microsoft.com/sharepoint/v3"/>
    <ds:schemaRef ds:uri="97884903-a30f-431d-8d90-f33171442c10"/>
    <ds:schemaRef ds:uri="http://schemas.microsoft.com/office/infopath/2007/PartnerControls"/>
    <ds:schemaRef ds:uri="aa738544-32a4-411c-8186-5d55981d2b6e"/>
  </ds:schemaRefs>
</ds:datastoreItem>
</file>

<file path=customXml/itemProps2.xml><?xml version="1.0" encoding="utf-8"?>
<ds:datastoreItem xmlns:ds="http://schemas.openxmlformats.org/officeDocument/2006/customXml" ds:itemID="{8954F597-8911-49B0-8F19-8E6FD27D0216}">
  <ds:schemaRefs>
    <ds:schemaRef ds:uri="http://schemas.microsoft.com/sharepoint/v3/contenttype/forms"/>
  </ds:schemaRefs>
</ds:datastoreItem>
</file>

<file path=customXml/itemProps3.xml><?xml version="1.0" encoding="utf-8"?>
<ds:datastoreItem xmlns:ds="http://schemas.openxmlformats.org/officeDocument/2006/customXml" ds:itemID="{B69380EF-1193-4220-8ECB-0CCE7C480713}">
  <ds:schemaRefs>
    <ds:schemaRef ds:uri="http://schemas.openxmlformats.org/officeDocument/2006/bibliography"/>
  </ds:schemaRefs>
</ds:datastoreItem>
</file>

<file path=customXml/itemProps4.xml><?xml version="1.0" encoding="utf-8"?>
<ds:datastoreItem xmlns:ds="http://schemas.openxmlformats.org/officeDocument/2006/customXml" ds:itemID="{E914C116-60E3-4386-BD24-3E75A00FF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MarketWatch_CFS_adviser_template</Template>
  <TotalTime>1</TotalTime>
  <Pages>4</Pages>
  <Words>2160</Words>
  <Characters>10985</Characters>
  <Application>Microsoft Office Word</Application>
  <DocSecurity>0</DocSecurity>
  <Lines>352</Lines>
  <Paragraphs>100</Paragraphs>
  <ScaleCrop>false</ScaleCrop>
  <HeadingPairs>
    <vt:vector size="2" baseType="variant">
      <vt:variant>
        <vt:lpstr>Title</vt:lpstr>
      </vt:variant>
      <vt:variant>
        <vt:i4>1</vt:i4>
      </vt:variant>
    </vt:vector>
  </HeadingPairs>
  <TitlesOfParts>
    <vt:vector size="1" baseType="lpstr">
      <vt:lpstr>Count-Home-and-residential-aged-care</vt:lpstr>
    </vt:vector>
  </TitlesOfParts>
  <Company>Colonial First State</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Count-Home-and-residential-aged-care</dc:title>
  <dc:creator>Rogan, Jessica</dc:creator>
  <cp:lastModifiedBy>Adam Ludeke</cp:lastModifiedBy>
  <cp:revision>3</cp:revision>
  <cp:lastPrinted>2020-07-06T02:29:00Z</cp:lastPrinted>
  <dcterms:created xsi:type="dcterms:W3CDTF">2023-10-17T23:01:00Z</dcterms:created>
  <dcterms:modified xsi:type="dcterms:W3CDTF">2023-10-17T23:01:00Z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0x010100C531551BBA29AF48A0DF13BF40DA785F</vt:lpwstr>
  </property>
  <property fmtid="{D5CDD505-2E9C-101B-9397-08002B2CF9AE}" pid="3" name="MSIP_Label_a23ee8e6-e2e1-4a32-b0ea-82e8bb15f21c_Enabled">
    <vt:lpwstr>true</vt:lpwstr>
  </property>
  <property fmtid="{D5CDD505-2E9C-101B-9397-08002B2CF9AE}" pid="4" name="MSIP_Label_a23ee8e6-e2e1-4a32-b0ea-82e8bb15f21c_SetDate">
    <vt:lpwstr>2022-06-10T04:40:55Z</vt:lpwstr>
  </property>
  <property fmtid="{D5CDD505-2E9C-101B-9397-08002B2CF9AE}" pid="5" name="MSIP_Label_a23ee8e6-e2e1-4a32-b0ea-82e8bb15f21c_Method">
    <vt:lpwstr>Standard</vt:lpwstr>
  </property>
  <property fmtid="{D5CDD505-2E9C-101B-9397-08002B2CF9AE}" pid="6" name="MSIP_Label_a23ee8e6-e2e1-4a32-b0ea-82e8bb15f21c_Name">
    <vt:lpwstr>Internal</vt:lpwstr>
  </property>
  <property fmtid="{D5CDD505-2E9C-101B-9397-08002B2CF9AE}" pid="7" name="MSIP_Label_a23ee8e6-e2e1-4a32-b0ea-82e8bb15f21c_SiteId">
    <vt:lpwstr>f8e1ec02-619b-4b66-a5a7-9bff83b76b2f</vt:lpwstr>
  </property>
  <property fmtid="{D5CDD505-2E9C-101B-9397-08002B2CF9AE}" pid="8" name="MSIP_Label_a23ee8e6-e2e1-4a32-b0ea-82e8bb15f21c_ActionId">
    <vt:lpwstr>4ac32c56-dfae-433b-8d63-f1abc868dd73</vt:lpwstr>
  </property>
  <property fmtid="{D5CDD505-2E9C-101B-9397-08002B2CF9AE}" pid="9" name="MSIP_Label_a23ee8e6-e2e1-4a32-b0ea-82e8bb15f21c_ContentBits">
    <vt:lpwstr>0</vt:lpwstr>
  </property>
  <property fmtid="{D5CDD505-2E9C-101B-9397-08002B2CF9AE}" pid="10" name="MediaServiceImageTags">
    <vt:lpwstr/>
  </property>
  <property fmtid="{D5CDD505-2E9C-101B-9397-08002B2CF9AE}" pid="11" name="GrammarlyDocumentId">
    <vt:lpwstr>c7562d71cbf9ee7d2b7f015c974b950e6189b04313425f32fa3e8f5c82d15665</vt:lpwstr>
  </property>
</Properties>
</file>